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4CEB5" w14:textId="39E49AF4" w:rsidR="00E03626" w:rsidRPr="00FE5410" w:rsidRDefault="005B2141" w:rsidP="005B2141">
      <w:pPr>
        <w:jc w:val="center"/>
        <w:rPr>
          <w:rFonts w:ascii="Trebuchet MS" w:eastAsia="Trebuchet MS" w:hAnsi="Trebuchet MS" w:cs="Trebuchet MS"/>
          <w:b/>
          <w:bCs/>
          <w:color w:val="C00000"/>
          <w:u w:val="single"/>
        </w:rPr>
      </w:pPr>
      <w:r>
        <w:rPr>
          <w:noProof/>
        </w:rPr>
        <w:drawing>
          <wp:inline distT="0" distB="0" distL="0" distR="0" wp14:anchorId="31507B6C" wp14:editId="00111840">
            <wp:extent cx="4266142" cy="1104900"/>
            <wp:effectExtent l="0" t="0" r="1270" b="0"/>
            <wp:docPr id="1" name="Picture 1" descr="cid:image001.jpg@01D218E1.4CD7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18E1.4CD792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268248" cy="1105445"/>
                    </a:xfrm>
                    <a:prstGeom prst="rect">
                      <a:avLst/>
                    </a:prstGeom>
                    <a:noFill/>
                    <a:ln>
                      <a:noFill/>
                    </a:ln>
                  </pic:spPr>
                </pic:pic>
              </a:graphicData>
            </a:graphic>
          </wp:inline>
        </w:drawing>
      </w:r>
    </w:p>
    <w:p w14:paraId="30EAC2F4" w14:textId="77777777" w:rsidR="00F36832" w:rsidRPr="008D7BBF" w:rsidRDefault="00F36832" w:rsidP="00E03626">
      <w:pPr>
        <w:rPr>
          <w:rFonts w:ascii="Trebuchet MS" w:eastAsia="Trebuchet MS" w:hAnsi="Trebuchet MS" w:cs="Trebuchet MS"/>
          <w:b/>
          <w:bCs/>
          <w:color w:val="0061D4"/>
        </w:rPr>
      </w:pPr>
    </w:p>
    <w:tbl>
      <w:tblPr>
        <w:tblpPr w:leftFromText="180" w:rightFromText="180" w:vertAnchor="text" w:horzAnchor="margin" w:tblpY="44"/>
        <w:tblW w:w="9384" w:type="dxa"/>
        <w:tblBorders>
          <w:top w:val="single" w:sz="4" w:space="0" w:color="auto"/>
        </w:tblBorders>
        <w:tblLook w:val="0000" w:firstRow="0" w:lastRow="0" w:firstColumn="0" w:lastColumn="0" w:noHBand="0" w:noVBand="0"/>
      </w:tblPr>
      <w:tblGrid>
        <w:gridCol w:w="9384"/>
      </w:tblGrid>
      <w:tr w:rsidR="00E03626" w:rsidRPr="008D7BBF" w14:paraId="2B44F7B1" w14:textId="77777777" w:rsidTr="000F0AC6">
        <w:trPr>
          <w:trHeight w:val="100"/>
        </w:trPr>
        <w:tc>
          <w:tcPr>
            <w:tcW w:w="9384" w:type="dxa"/>
            <w:tcBorders>
              <w:top w:val="nil"/>
              <w:left w:val="nil"/>
              <w:right w:val="nil"/>
            </w:tcBorders>
          </w:tcPr>
          <w:p w14:paraId="394D6E25" w14:textId="77777777" w:rsidR="009A3438" w:rsidRDefault="009A3438" w:rsidP="00E03626">
            <w:pPr>
              <w:shd w:val="clear" w:color="auto" w:fill="2E74B5" w:themeFill="accent1" w:themeFillShade="BF"/>
              <w:jc w:val="center"/>
              <w:rPr>
                <w:rFonts w:ascii="Trebuchet MS" w:hAnsi="Trebuchet MS" w:cs="Times New Roman"/>
                <w:color w:val="FFFFFF" w:themeColor="background1"/>
              </w:rPr>
            </w:pPr>
          </w:p>
          <w:p w14:paraId="5392F1DD" w14:textId="13F8BBD7" w:rsidR="00E03626" w:rsidRDefault="00E03626" w:rsidP="00E03626">
            <w:pPr>
              <w:shd w:val="clear" w:color="auto" w:fill="2E74B5" w:themeFill="accent1" w:themeFillShade="BF"/>
              <w:jc w:val="center"/>
              <w:rPr>
                <w:rFonts w:ascii="Trebuchet MS" w:hAnsi="Trebuchet MS" w:cs="Times New Roman"/>
                <w:color w:val="FFFFFF" w:themeColor="background1"/>
              </w:rPr>
            </w:pPr>
            <w:r>
              <w:rPr>
                <w:rFonts w:ascii="Trebuchet MS" w:hAnsi="Trebuchet MS" w:cs="Times New Roman"/>
                <w:color w:val="FFFFFF" w:themeColor="background1"/>
              </w:rPr>
              <w:t>2016 Ottawa Technical Meeting</w:t>
            </w:r>
            <w:r w:rsidR="00424033">
              <w:rPr>
                <w:rFonts w:ascii="Trebuchet MS" w:hAnsi="Trebuchet MS" w:cs="Times New Roman"/>
                <w:color w:val="FFFFFF" w:themeColor="background1"/>
              </w:rPr>
              <w:t xml:space="preserve"> Summary, Outcomes, and Next Steps</w:t>
            </w:r>
          </w:p>
          <w:p w14:paraId="32374AA2" w14:textId="77777777" w:rsidR="00871C5E" w:rsidRDefault="00E03626" w:rsidP="00AC6B94">
            <w:pPr>
              <w:shd w:val="clear" w:color="auto" w:fill="2E74B5" w:themeFill="accent1" w:themeFillShade="BF"/>
              <w:jc w:val="center"/>
              <w:rPr>
                <w:rFonts w:ascii="Trebuchet MS" w:hAnsi="Trebuchet MS" w:cs="Times New Roman"/>
                <w:color w:val="FFFFFF" w:themeColor="background1"/>
              </w:rPr>
            </w:pPr>
            <w:r>
              <w:rPr>
                <w:rFonts w:ascii="Trebuchet MS" w:hAnsi="Trebuchet MS" w:cs="Times New Roman"/>
                <w:color w:val="FFFFFF" w:themeColor="background1"/>
              </w:rPr>
              <w:t>"</w:t>
            </w:r>
            <w:r w:rsidR="009A3438">
              <w:rPr>
                <w:rFonts w:ascii="Trebuchet MS" w:hAnsi="Trebuchet MS" w:cs="Times New Roman"/>
                <w:i/>
                <w:color w:val="FFFFFF" w:themeColor="background1"/>
              </w:rPr>
              <w:t>Winemaking Practices a</w:t>
            </w:r>
            <w:r w:rsidR="009A3438" w:rsidRPr="009A3438">
              <w:rPr>
                <w:rFonts w:ascii="Trebuchet MS" w:hAnsi="Trebuchet MS" w:cs="Times New Roman"/>
                <w:i/>
                <w:color w:val="FFFFFF" w:themeColor="background1"/>
              </w:rPr>
              <w:t>nd International Trade</w:t>
            </w:r>
            <w:r>
              <w:rPr>
                <w:rFonts w:ascii="Trebuchet MS" w:hAnsi="Trebuchet MS" w:cs="Times New Roman"/>
                <w:color w:val="FFFFFF" w:themeColor="background1"/>
              </w:rPr>
              <w:t>"</w:t>
            </w:r>
          </w:p>
          <w:p w14:paraId="2313021E" w14:textId="7A8D4823" w:rsidR="009A3438" w:rsidRPr="008D7BBF" w:rsidRDefault="009A3438" w:rsidP="00AC6B94">
            <w:pPr>
              <w:shd w:val="clear" w:color="auto" w:fill="2E74B5" w:themeFill="accent1" w:themeFillShade="BF"/>
              <w:jc w:val="center"/>
              <w:rPr>
                <w:rFonts w:ascii="Trebuchet MS" w:hAnsi="Trebuchet MS" w:cs="Times New Roman"/>
                <w:color w:val="FFFFFF" w:themeColor="background1"/>
              </w:rPr>
            </w:pPr>
          </w:p>
        </w:tc>
      </w:tr>
    </w:tbl>
    <w:p w14:paraId="40742C63" w14:textId="77777777" w:rsidR="009E7C5D" w:rsidRPr="00A6155C" w:rsidRDefault="009E7C5D" w:rsidP="009E7C5D">
      <w:pPr>
        <w:rPr>
          <w:rFonts w:cs="Times New Roman"/>
        </w:rPr>
      </w:pPr>
    </w:p>
    <w:p w14:paraId="3ED2C51B" w14:textId="77777777" w:rsidR="009D51B7" w:rsidRDefault="009D51B7" w:rsidP="0048207C">
      <w:pPr>
        <w:rPr>
          <w:rFonts w:cs="Times New Roman"/>
        </w:rPr>
      </w:pPr>
    </w:p>
    <w:p w14:paraId="73927DD9" w14:textId="16966F05" w:rsidR="0048207C" w:rsidRPr="009D51B7" w:rsidRDefault="00995A69" w:rsidP="0048207C">
      <w:pPr>
        <w:rPr>
          <w:rFonts w:cs="Times New Roman"/>
        </w:rPr>
      </w:pPr>
      <w:r w:rsidRPr="009D51B7">
        <w:rPr>
          <w:rFonts w:cs="Times New Roman"/>
        </w:rPr>
        <w:t>The six</w:t>
      </w:r>
      <w:r w:rsidR="000F7C9B" w:rsidRPr="009D51B7">
        <w:rPr>
          <w:rFonts w:cs="Times New Roman"/>
        </w:rPr>
        <w:t xml:space="preserve">th meeting of the </w:t>
      </w:r>
      <w:hyperlink r:id="rId10" w:history="1">
        <w:r w:rsidR="000F7C9B" w:rsidRPr="009D51B7">
          <w:rPr>
            <w:rStyle w:val="Hyperlink"/>
            <w:rFonts w:cs="Times New Roman"/>
          </w:rPr>
          <w:t>APEC Wine Regulatory Forum</w:t>
        </w:r>
      </w:hyperlink>
      <w:r w:rsidR="000F7C9B" w:rsidRPr="009D51B7">
        <w:rPr>
          <w:rFonts w:cs="Times New Roman"/>
        </w:rPr>
        <w:t xml:space="preserve"> (WRF)</w:t>
      </w:r>
      <w:r w:rsidR="00E03626" w:rsidRPr="009D51B7">
        <w:rPr>
          <w:rFonts w:cs="Times New Roman"/>
        </w:rPr>
        <w:t xml:space="preserve">, </w:t>
      </w:r>
      <w:r w:rsidR="000F7C9B" w:rsidRPr="009D51B7">
        <w:rPr>
          <w:rFonts w:cs="Times New Roman"/>
        </w:rPr>
        <w:t xml:space="preserve">was held on </w:t>
      </w:r>
      <w:r w:rsidRPr="009D51B7">
        <w:rPr>
          <w:rFonts w:cs="Times New Roman"/>
        </w:rPr>
        <w:t>Octo</w:t>
      </w:r>
      <w:r w:rsidR="000F7C9B" w:rsidRPr="009D51B7">
        <w:rPr>
          <w:rFonts w:cs="Times New Roman"/>
        </w:rPr>
        <w:t xml:space="preserve">ber </w:t>
      </w:r>
      <w:r w:rsidRPr="009D51B7">
        <w:rPr>
          <w:rFonts w:cs="Times New Roman"/>
        </w:rPr>
        <w:t>6-7, 2016</w:t>
      </w:r>
      <w:r w:rsidR="000F7C9B" w:rsidRPr="009D51B7">
        <w:rPr>
          <w:rFonts w:cs="Times New Roman"/>
        </w:rPr>
        <w:t xml:space="preserve"> in </w:t>
      </w:r>
      <w:r w:rsidR="0048207C" w:rsidRPr="009D51B7">
        <w:rPr>
          <w:rFonts w:cs="Times New Roman"/>
        </w:rPr>
        <w:t>Ottawa, Canada</w:t>
      </w:r>
      <w:r w:rsidR="00282D5F">
        <w:rPr>
          <w:rFonts w:cs="Times New Roman"/>
        </w:rPr>
        <w:t>.</w:t>
      </w:r>
      <w:r w:rsidR="000A7A45" w:rsidRPr="009D51B7">
        <w:rPr>
          <w:rStyle w:val="FootnoteReference"/>
          <w:rFonts w:cs="Times New Roman"/>
        </w:rPr>
        <w:footnoteReference w:id="1"/>
      </w:r>
      <w:r w:rsidR="0048207C" w:rsidRPr="009D51B7">
        <w:rPr>
          <w:rFonts w:cs="Times New Roman"/>
        </w:rPr>
        <w:t xml:space="preserve">  </w:t>
      </w:r>
      <w:r w:rsidR="00782CAC" w:rsidRPr="009D51B7">
        <w:rPr>
          <w:rFonts w:cs="Times New Roman"/>
        </w:rPr>
        <w:t>The WRF seeks to eliminate non‐science based testing and certification requirements for wine trade in an effort to increase wine production, expand trade</w:t>
      </w:r>
      <w:r w:rsidR="00282D5F">
        <w:rPr>
          <w:rFonts w:cs="Times New Roman"/>
        </w:rPr>
        <w:t>,</w:t>
      </w:r>
      <w:r w:rsidR="00782CAC" w:rsidRPr="009D51B7">
        <w:rPr>
          <w:rFonts w:cs="Times New Roman"/>
        </w:rPr>
        <w:t xml:space="preserve"> and create jobs in the region.</w:t>
      </w:r>
    </w:p>
    <w:p w14:paraId="5FF3CB6F" w14:textId="77777777" w:rsidR="0048207C" w:rsidRPr="009D51B7" w:rsidRDefault="0048207C" w:rsidP="0048207C">
      <w:pPr>
        <w:rPr>
          <w:rFonts w:cs="Times New Roman"/>
        </w:rPr>
      </w:pPr>
    </w:p>
    <w:p w14:paraId="06E6F08E" w14:textId="29A39C80" w:rsidR="0048207C" w:rsidRPr="009D51B7" w:rsidRDefault="0048207C" w:rsidP="0048207C">
      <w:pPr>
        <w:rPr>
          <w:rFonts w:cs="Times New Roman"/>
        </w:rPr>
      </w:pPr>
      <w:r w:rsidRPr="009D51B7">
        <w:rPr>
          <w:rFonts w:cs="Times New Roman"/>
        </w:rPr>
        <w:t xml:space="preserve">Government officials and wine sector representatives from 14 APEC economies participated in the 2016 meeting: Australia, Canada, Chile, </w:t>
      </w:r>
      <w:r w:rsidR="00BC2F3E">
        <w:rPr>
          <w:rFonts w:cs="Times New Roman"/>
        </w:rPr>
        <w:t xml:space="preserve">the People’s Republic of </w:t>
      </w:r>
      <w:r w:rsidRPr="009D51B7">
        <w:rPr>
          <w:rFonts w:cs="Times New Roman"/>
        </w:rPr>
        <w:t>China</w:t>
      </w:r>
      <w:r w:rsidR="00BC2F3E">
        <w:rPr>
          <w:rFonts w:cs="Times New Roman"/>
        </w:rPr>
        <w:t xml:space="preserve"> (China)</w:t>
      </w:r>
      <w:r w:rsidRPr="009D51B7">
        <w:rPr>
          <w:rFonts w:cs="Times New Roman"/>
        </w:rPr>
        <w:t xml:space="preserve">, Japan, Malaysia, Mexico, New Zealand, Peru, Philippines, Russia, Thailand, United States and Viet Nam. In addition, two </w:t>
      </w:r>
      <w:r w:rsidR="00BC2F3E">
        <w:rPr>
          <w:rFonts w:cs="Times New Roman"/>
        </w:rPr>
        <w:t>o</w:t>
      </w:r>
      <w:r w:rsidRPr="009D51B7">
        <w:rPr>
          <w:rFonts w:cs="Times New Roman"/>
        </w:rPr>
        <w:t>bserver</w:t>
      </w:r>
      <w:r w:rsidR="00442D08">
        <w:rPr>
          <w:rFonts w:cs="Times New Roman"/>
        </w:rPr>
        <w:t xml:space="preserve">s </w:t>
      </w:r>
      <w:r w:rsidRPr="009D51B7">
        <w:rPr>
          <w:rFonts w:cs="Times New Roman"/>
        </w:rPr>
        <w:t xml:space="preserve">participated, representing the governments and </w:t>
      </w:r>
      <w:r w:rsidR="00282D5F">
        <w:rPr>
          <w:rFonts w:cs="Times New Roman"/>
        </w:rPr>
        <w:t>industries</w:t>
      </w:r>
      <w:r w:rsidR="00282D5F" w:rsidRPr="009D51B7">
        <w:rPr>
          <w:rFonts w:cs="Times New Roman"/>
        </w:rPr>
        <w:t xml:space="preserve"> </w:t>
      </w:r>
      <w:r w:rsidRPr="009D51B7">
        <w:rPr>
          <w:rFonts w:cs="Times New Roman"/>
        </w:rPr>
        <w:t xml:space="preserve">of Argentina and South Africa. </w:t>
      </w:r>
    </w:p>
    <w:p w14:paraId="3143D3CF" w14:textId="77777777" w:rsidR="0061032D" w:rsidRDefault="0061032D" w:rsidP="0061032D">
      <w:pPr>
        <w:rPr>
          <w:rFonts w:cs="Times New Roman"/>
        </w:rPr>
      </w:pPr>
    </w:p>
    <w:p w14:paraId="7CAEDC87" w14:textId="1403A1AC" w:rsidR="00995A69" w:rsidRPr="0061032D" w:rsidRDefault="0061032D" w:rsidP="0061032D">
      <w:pPr>
        <w:rPr>
          <w:rFonts w:cs="Times New Roman"/>
          <w:bCs/>
        </w:rPr>
      </w:pPr>
      <w:r>
        <w:rPr>
          <w:rFonts w:cs="Times New Roman"/>
        </w:rPr>
        <w:t>1.</w:t>
      </w:r>
      <w:r w:rsidRPr="0061032D">
        <w:rPr>
          <w:rFonts w:cs="Times New Roman"/>
          <w:bCs/>
        </w:rPr>
        <w:t xml:space="preserve"> The</w:t>
      </w:r>
      <w:r w:rsidR="00A858AA" w:rsidRPr="0061032D">
        <w:rPr>
          <w:rFonts w:cs="Times New Roman"/>
          <w:bCs/>
        </w:rPr>
        <w:t xml:space="preserve"> meeting </w:t>
      </w:r>
      <w:r w:rsidR="00DF0365" w:rsidRPr="0061032D">
        <w:rPr>
          <w:rFonts w:cs="Times New Roman"/>
          <w:bCs/>
        </w:rPr>
        <w:t>opened with remarks from</w:t>
      </w:r>
      <w:r w:rsidR="00A858AA" w:rsidRPr="0061032D">
        <w:rPr>
          <w:rFonts w:cs="Times New Roman"/>
          <w:bCs/>
        </w:rPr>
        <w:t xml:space="preserve"> Mr. Frederic </w:t>
      </w:r>
      <w:proofErr w:type="spellStart"/>
      <w:r w:rsidR="00A858AA" w:rsidRPr="0061032D">
        <w:rPr>
          <w:rFonts w:cs="Times New Roman"/>
          <w:bCs/>
        </w:rPr>
        <w:t>Seppey</w:t>
      </w:r>
      <w:proofErr w:type="spellEnd"/>
      <w:r w:rsidR="00A858AA" w:rsidRPr="0061032D">
        <w:rPr>
          <w:rFonts w:cs="Times New Roman"/>
          <w:bCs/>
        </w:rPr>
        <w:t>, Canada’s Chief Agriculture Negotiator</w:t>
      </w:r>
      <w:r w:rsidR="00282D5F">
        <w:rPr>
          <w:rFonts w:cs="Times New Roman"/>
          <w:bCs/>
        </w:rPr>
        <w:t>,</w:t>
      </w:r>
      <w:r w:rsidR="00A858AA" w:rsidRPr="0061032D">
        <w:rPr>
          <w:rFonts w:cs="Times New Roman"/>
          <w:bCs/>
        </w:rPr>
        <w:t xml:space="preserve"> who underscored the importance of good regulatory practices and risk based regulatory systems for wine importing</w:t>
      </w:r>
      <w:r w:rsidR="0048207C" w:rsidRPr="0061032D">
        <w:rPr>
          <w:rFonts w:cs="Times New Roman"/>
          <w:bCs/>
        </w:rPr>
        <w:t xml:space="preserve"> economies</w:t>
      </w:r>
      <w:r w:rsidR="00A8602C" w:rsidRPr="0061032D">
        <w:rPr>
          <w:rFonts w:cs="Times New Roman"/>
          <w:bCs/>
        </w:rPr>
        <w:t>.</w:t>
      </w:r>
      <w:r w:rsidR="008F3475" w:rsidRPr="0061032D">
        <w:rPr>
          <w:rFonts w:cs="Times New Roman"/>
          <w:bCs/>
        </w:rPr>
        <w:t xml:space="preserve">  </w:t>
      </w:r>
      <w:r w:rsidR="00DF0365" w:rsidRPr="0061032D">
        <w:rPr>
          <w:rFonts w:cs="Times New Roman"/>
          <w:bCs/>
        </w:rPr>
        <w:t>Ms. Shendra Melia, t</w:t>
      </w:r>
      <w:r w:rsidR="0048207C" w:rsidRPr="0061032D">
        <w:rPr>
          <w:rFonts w:cs="Times New Roman"/>
          <w:bCs/>
        </w:rPr>
        <w:t xml:space="preserve">he Canadian Chair of the </w:t>
      </w:r>
      <w:hyperlink r:id="rId11" w:history="1">
        <w:r w:rsidR="0048207C" w:rsidRPr="00282D5F">
          <w:rPr>
            <w:rStyle w:val="Hyperlink"/>
            <w:rFonts w:cs="Times New Roman"/>
            <w:bCs/>
          </w:rPr>
          <w:t>World Wine Trade Group</w:t>
        </w:r>
      </w:hyperlink>
      <w:r w:rsidR="0048207C" w:rsidRPr="0061032D">
        <w:rPr>
          <w:rFonts w:cs="Times New Roman"/>
          <w:bCs/>
        </w:rPr>
        <w:t xml:space="preserve"> (WWTG)</w:t>
      </w:r>
      <w:r w:rsidR="00282D5F">
        <w:rPr>
          <w:rFonts w:cs="Times New Roman"/>
          <w:bCs/>
        </w:rPr>
        <w:t>,</w:t>
      </w:r>
      <w:r w:rsidR="0048207C" w:rsidRPr="0061032D">
        <w:rPr>
          <w:rFonts w:cs="Times New Roman"/>
          <w:bCs/>
        </w:rPr>
        <w:t xml:space="preserve"> presented the meeting highlights from the 2016 Annual Meeting</w:t>
      </w:r>
      <w:r w:rsidR="00782CAC" w:rsidRPr="0061032D">
        <w:rPr>
          <w:rFonts w:cs="Times New Roman"/>
          <w:bCs/>
        </w:rPr>
        <w:t xml:space="preserve"> </w:t>
      </w:r>
      <w:r w:rsidR="00282D5F">
        <w:rPr>
          <w:rFonts w:cs="Times New Roman"/>
          <w:bCs/>
        </w:rPr>
        <w:t xml:space="preserve">and </w:t>
      </w:r>
      <w:r w:rsidR="00DC7524" w:rsidRPr="0061032D">
        <w:rPr>
          <w:rFonts w:cs="Times New Roman"/>
          <w:bCs/>
        </w:rPr>
        <w:t>not</w:t>
      </w:r>
      <w:r w:rsidR="00282D5F">
        <w:rPr>
          <w:rFonts w:cs="Times New Roman"/>
          <w:bCs/>
        </w:rPr>
        <w:t>ed</w:t>
      </w:r>
      <w:r w:rsidR="00DC7524" w:rsidRPr="0061032D">
        <w:rPr>
          <w:rFonts w:cs="Times New Roman"/>
          <w:bCs/>
        </w:rPr>
        <w:t xml:space="preserve"> </w:t>
      </w:r>
      <w:r w:rsidR="00D52173" w:rsidRPr="0061032D">
        <w:rPr>
          <w:rFonts w:cs="Times New Roman"/>
          <w:bCs/>
        </w:rPr>
        <w:t>key future priorities</w:t>
      </w:r>
      <w:r w:rsidR="00282D5F">
        <w:rPr>
          <w:rFonts w:cs="Times New Roman"/>
          <w:bCs/>
        </w:rPr>
        <w:t>,</w:t>
      </w:r>
      <w:r w:rsidR="00D52173" w:rsidRPr="0061032D">
        <w:rPr>
          <w:rFonts w:cs="Times New Roman"/>
          <w:bCs/>
        </w:rPr>
        <w:t xml:space="preserve"> including </w:t>
      </w:r>
      <w:r w:rsidR="00DC7524" w:rsidRPr="0061032D">
        <w:rPr>
          <w:rFonts w:cs="Times New Roman"/>
          <w:bCs/>
        </w:rPr>
        <w:t xml:space="preserve">additional work on good </w:t>
      </w:r>
      <w:r w:rsidR="006B4BFD" w:rsidRPr="0061032D">
        <w:rPr>
          <w:rFonts w:cs="Times New Roman"/>
          <w:bCs/>
        </w:rPr>
        <w:t xml:space="preserve">regulatory principles for wine.  </w:t>
      </w:r>
    </w:p>
    <w:p w14:paraId="4D1E3675" w14:textId="77777777" w:rsidR="007C5DD5" w:rsidRPr="009D51B7" w:rsidRDefault="007C5DD5" w:rsidP="009E7C5D">
      <w:pPr>
        <w:rPr>
          <w:rFonts w:cs="Times New Roman"/>
          <w:bCs/>
        </w:rPr>
      </w:pPr>
    </w:p>
    <w:p w14:paraId="1C9C3DC3" w14:textId="20EFC6A0" w:rsidR="007C5DD5" w:rsidRPr="009D51B7" w:rsidRDefault="0061032D" w:rsidP="007C5DD5">
      <w:pPr>
        <w:rPr>
          <w:rFonts w:cs="Times New Roman"/>
          <w:bCs/>
        </w:rPr>
      </w:pPr>
      <w:r>
        <w:rPr>
          <w:rFonts w:cs="Times New Roman"/>
        </w:rPr>
        <w:t xml:space="preserve">2. </w:t>
      </w:r>
      <w:r w:rsidR="007C5DD5" w:rsidRPr="009D51B7">
        <w:rPr>
          <w:rFonts w:cs="Times New Roman"/>
        </w:rPr>
        <w:t>Wine a</w:t>
      </w:r>
      <w:r w:rsidR="00933D29" w:rsidRPr="009D51B7">
        <w:rPr>
          <w:rFonts w:cs="Times New Roman"/>
        </w:rPr>
        <w:t xml:space="preserve">s a low risk food product </w:t>
      </w:r>
      <w:r w:rsidR="00E33802" w:rsidRPr="009D51B7">
        <w:rPr>
          <w:rFonts w:cs="Times New Roman"/>
        </w:rPr>
        <w:t xml:space="preserve">from a microbiological perspective </w:t>
      </w:r>
      <w:r w:rsidR="00933D29" w:rsidRPr="009D51B7">
        <w:rPr>
          <w:rFonts w:cs="Times New Roman"/>
        </w:rPr>
        <w:t>continued as a</w:t>
      </w:r>
      <w:r w:rsidR="003831A3" w:rsidRPr="009D51B7">
        <w:rPr>
          <w:rFonts w:cs="Times New Roman"/>
        </w:rPr>
        <w:t xml:space="preserve"> theme.  </w:t>
      </w:r>
      <w:r w:rsidR="00272AED" w:rsidRPr="009D51B7">
        <w:rPr>
          <w:rFonts w:cs="Times New Roman"/>
          <w:bCs/>
        </w:rPr>
        <w:t xml:space="preserve">Regulators noted </w:t>
      </w:r>
      <w:r w:rsidR="004326AC">
        <w:rPr>
          <w:rFonts w:cs="Times New Roman"/>
          <w:bCs/>
        </w:rPr>
        <w:t xml:space="preserve">an </w:t>
      </w:r>
      <w:r w:rsidR="00272AED" w:rsidRPr="009D51B7">
        <w:rPr>
          <w:rFonts w:cs="Times New Roman"/>
          <w:bCs/>
        </w:rPr>
        <w:t>interest in receiving guidance on heavy metals in wine.</w:t>
      </w:r>
      <w:r w:rsidR="00E1703A" w:rsidRPr="009D51B7">
        <w:rPr>
          <w:rFonts w:cs="Times New Roman"/>
          <w:bCs/>
        </w:rPr>
        <w:t xml:space="preserve">  </w:t>
      </w:r>
      <w:r w:rsidR="007C5DD5" w:rsidRPr="009D51B7">
        <w:rPr>
          <w:rFonts w:cs="Times New Roman"/>
        </w:rPr>
        <w:t xml:space="preserve">Noting that there are two years left in the APEC WRF Project Proposal, participants </w:t>
      </w:r>
      <w:r w:rsidR="004326AC">
        <w:rPr>
          <w:rFonts w:cs="Times New Roman"/>
        </w:rPr>
        <w:t xml:space="preserve">expressed support for </w:t>
      </w:r>
      <w:r w:rsidR="007C5DD5" w:rsidRPr="009D51B7">
        <w:rPr>
          <w:rFonts w:cs="Times New Roman"/>
        </w:rPr>
        <w:t xml:space="preserve">addressing key issues before the project concludes.    </w:t>
      </w:r>
    </w:p>
    <w:p w14:paraId="7F931A48" w14:textId="77777777" w:rsidR="006B4BFD" w:rsidRPr="009D51B7" w:rsidRDefault="006B4BFD" w:rsidP="009E7C5D">
      <w:pPr>
        <w:rPr>
          <w:rFonts w:cs="Times New Roman"/>
          <w:bCs/>
        </w:rPr>
      </w:pPr>
    </w:p>
    <w:p w14:paraId="417E19AC" w14:textId="7A0BA13D" w:rsidR="00F43228" w:rsidRPr="009D51B7" w:rsidRDefault="0061032D" w:rsidP="007C5DD5">
      <w:pPr>
        <w:rPr>
          <w:rFonts w:cs="Times New Roman"/>
          <w:bCs/>
        </w:rPr>
      </w:pPr>
      <w:r>
        <w:rPr>
          <w:rFonts w:cs="Times New Roman"/>
        </w:rPr>
        <w:t xml:space="preserve">3. </w:t>
      </w:r>
      <w:r w:rsidR="007C5DD5" w:rsidRPr="009D51B7">
        <w:rPr>
          <w:rFonts w:cs="Times New Roman"/>
        </w:rPr>
        <w:t xml:space="preserve">An economic analysis </w:t>
      </w:r>
      <w:r w:rsidR="008B3B9D" w:rsidRPr="009D51B7">
        <w:rPr>
          <w:rFonts w:cs="Times New Roman"/>
        </w:rPr>
        <w:t xml:space="preserve">on the growth of wine trade in APEC </w:t>
      </w:r>
      <w:r w:rsidR="007C5DD5" w:rsidRPr="009D51B7">
        <w:rPr>
          <w:rFonts w:cs="Times New Roman"/>
        </w:rPr>
        <w:t>indicat</w:t>
      </w:r>
      <w:r w:rsidR="008B3B9D" w:rsidRPr="009D51B7">
        <w:rPr>
          <w:rFonts w:cs="Times New Roman"/>
        </w:rPr>
        <w:t xml:space="preserve">ed </w:t>
      </w:r>
      <w:r w:rsidR="007C5DD5" w:rsidRPr="009D51B7">
        <w:rPr>
          <w:rFonts w:cs="Times New Roman"/>
        </w:rPr>
        <w:t>that APEC region wine trade is g</w:t>
      </w:r>
      <w:r w:rsidR="002C1424" w:rsidRPr="009D51B7">
        <w:rPr>
          <w:rFonts w:cs="Times New Roman"/>
        </w:rPr>
        <w:t xml:space="preserve">rowing at an unprecedented rate and consumer acceptance of wine has increased. </w:t>
      </w:r>
      <w:r w:rsidR="007C5DD5" w:rsidRPr="009D51B7">
        <w:rPr>
          <w:rFonts w:cs="Times New Roman"/>
        </w:rPr>
        <w:t xml:space="preserve">  Between 2006 and 2015, APEC region w</w:t>
      </w:r>
      <w:r w:rsidR="007C5DD5" w:rsidRPr="009D51B7">
        <w:rPr>
          <w:rFonts w:cs="Times New Roman"/>
          <w:bCs/>
        </w:rPr>
        <w:t xml:space="preserve">ine trade increased by 52%, wine consumption </w:t>
      </w:r>
      <w:r w:rsidR="007C5DD5" w:rsidRPr="009D51B7">
        <w:rPr>
          <w:rFonts w:cs="Times New Roman"/>
          <w:bCs/>
        </w:rPr>
        <w:lastRenderedPageBreak/>
        <w:t>increased by 32%</w:t>
      </w:r>
      <w:r w:rsidR="00282D5F">
        <w:rPr>
          <w:rFonts w:cs="Times New Roman"/>
          <w:bCs/>
        </w:rPr>
        <w:t>,</w:t>
      </w:r>
      <w:r w:rsidR="007C5DD5" w:rsidRPr="009D51B7">
        <w:rPr>
          <w:rFonts w:cs="Times New Roman"/>
          <w:bCs/>
        </w:rPr>
        <w:t xml:space="preserve"> and per capita wine consumption increased by 23.4%.</w:t>
      </w:r>
      <w:r w:rsidR="002C0CCF" w:rsidRPr="009D51B7">
        <w:rPr>
          <w:rFonts w:cs="Times New Roman"/>
          <w:bCs/>
        </w:rPr>
        <w:t xml:space="preserve">  </w:t>
      </w:r>
      <w:r w:rsidR="00282D5F" w:rsidRPr="009D51B7">
        <w:rPr>
          <w:rFonts w:cs="Times New Roman"/>
        </w:rPr>
        <w:t>In 2015, APEC w</w:t>
      </w:r>
      <w:r w:rsidR="00282D5F" w:rsidRPr="009D51B7">
        <w:rPr>
          <w:rFonts w:cs="Times New Roman"/>
          <w:bCs/>
        </w:rPr>
        <w:t>ine production exceeded consumption by 6.35 million liters</w:t>
      </w:r>
      <w:r w:rsidR="00282D5F" w:rsidRPr="009D51B7">
        <w:rPr>
          <w:rFonts w:cs="Times New Roman"/>
        </w:rPr>
        <w:t xml:space="preserve">.  </w:t>
      </w:r>
    </w:p>
    <w:p w14:paraId="4FC54701" w14:textId="77777777" w:rsidR="003626AC" w:rsidRPr="009D51B7" w:rsidRDefault="003626AC" w:rsidP="007C5DD5">
      <w:pPr>
        <w:rPr>
          <w:rFonts w:cs="Times New Roman"/>
          <w:bCs/>
          <w:color w:val="FF0000"/>
        </w:rPr>
      </w:pPr>
    </w:p>
    <w:p w14:paraId="75F780FB" w14:textId="76F0ADA4" w:rsidR="008F3475" w:rsidRPr="009D51B7" w:rsidRDefault="0061032D" w:rsidP="007C5DD5">
      <w:pPr>
        <w:rPr>
          <w:rFonts w:cs="Times New Roman"/>
          <w:bCs/>
        </w:rPr>
      </w:pPr>
      <w:r>
        <w:rPr>
          <w:rFonts w:cs="Times New Roman"/>
          <w:bCs/>
        </w:rPr>
        <w:t xml:space="preserve">4. </w:t>
      </w:r>
      <w:r w:rsidR="00A8602C" w:rsidRPr="009D51B7">
        <w:rPr>
          <w:rFonts w:cs="Times New Roman"/>
          <w:bCs/>
        </w:rPr>
        <w:t xml:space="preserve">A presentation </w:t>
      </w:r>
      <w:r w:rsidR="004326AC">
        <w:rPr>
          <w:rFonts w:cs="Times New Roman"/>
          <w:bCs/>
        </w:rPr>
        <w:t xml:space="preserve">from </w:t>
      </w:r>
      <w:r w:rsidR="00A8602C" w:rsidRPr="009D51B7">
        <w:rPr>
          <w:rFonts w:cs="Times New Roman"/>
          <w:bCs/>
        </w:rPr>
        <w:t xml:space="preserve">the Canadian wine industry underscored the importance of </w:t>
      </w:r>
      <w:r w:rsidR="00F43228" w:rsidRPr="009D51B7">
        <w:rPr>
          <w:rFonts w:cs="Times New Roman"/>
          <w:bCs/>
        </w:rPr>
        <w:t>the W</w:t>
      </w:r>
      <w:r w:rsidR="00C63585" w:rsidRPr="009D51B7">
        <w:rPr>
          <w:rFonts w:cs="Times New Roman"/>
          <w:bCs/>
        </w:rPr>
        <w:t>RF from an indu</w:t>
      </w:r>
      <w:r w:rsidR="00102A1C" w:rsidRPr="009D51B7">
        <w:rPr>
          <w:rFonts w:cs="Times New Roman"/>
          <w:bCs/>
        </w:rPr>
        <w:t xml:space="preserve">stry perspective.  </w:t>
      </w:r>
      <w:r w:rsidR="00A8602C" w:rsidRPr="009D51B7">
        <w:rPr>
          <w:rFonts w:cs="Times New Roman"/>
          <w:bCs/>
        </w:rPr>
        <w:t>Canada is the 3</w:t>
      </w:r>
      <w:r w:rsidR="00A8602C" w:rsidRPr="009D51B7">
        <w:rPr>
          <w:rFonts w:cs="Times New Roman"/>
          <w:bCs/>
          <w:vertAlign w:val="superscript"/>
        </w:rPr>
        <w:t>rd</w:t>
      </w:r>
      <w:r w:rsidR="00A8602C" w:rsidRPr="009D51B7">
        <w:rPr>
          <w:rFonts w:cs="Times New Roman"/>
          <w:bCs/>
        </w:rPr>
        <w:t xml:space="preserve"> fastest growin</w:t>
      </w:r>
      <w:r w:rsidR="00F43228" w:rsidRPr="009D51B7">
        <w:rPr>
          <w:rFonts w:cs="Times New Roman"/>
          <w:bCs/>
        </w:rPr>
        <w:t xml:space="preserve">g wine market in the world and </w:t>
      </w:r>
      <w:r w:rsidR="00A8602C" w:rsidRPr="009D51B7">
        <w:rPr>
          <w:rFonts w:cs="Times New Roman"/>
          <w:bCs/>
        </w:rPr>
        <w:t xml:space="preserve">68% of the wine </w:t>
      </w:r>
      <w:r w:rsidR="00F43228" w:rsidRPr="009D51B7">
        <w:rPr>
          <w:rFonts w:cs="Times New Roman"/>
          <w:bCs/>
        </w:rPr>
        <w:t>sold in Canada is imported.  Canada’s top export markets are key APEC economies: China, the U</w:t>
      </w:r>
      <w:r w:rsidR="00282D5F">
        <w:rPr>
          <w:rFonts w:cs="Times New Roman"/>
          <w:bCs/>
        </w:rPr>
        <w:t>nited States</w:t>
      </w:r>
      <w:r w:rsidR="00102A1C" w:rsidRPr="009D51B7">
        <w:rPr>
          <w:rFonts w:cs="Times New Roman"/>
          <w:bCs/>
        </w:rPr>
        <w:t>, Japan, Hong Kong</w:t>
      </w:r>
      <w:r w:rsidR="00282D5F">
        <w:rPr>
          <w:rFonts w:cs="Times New Roman"/>
          <w:bCs/>
        </w:rPr>
        <w:t>, China,</w:t>
      </w:r>
      <w:r w:rsidR="00102A1C" w:rsidRPr="009D51B7">
        <w:rPr>
          <w:rFonts w:cs="Times New Roman"/>
          <w:bCs/>
        </w:rPr>
        <w:t xml:space="preserve"> and </w:t>
      </w:r>
      <w:r w:rsidR="00282D5F">
        <w:rPr>
          <w:rFonts w:cs="Times New Roman"/>
          <w:bCs/>
        </w:rPr>
        <w:t>Chinese Taipei</w:t>
      </w:r>
      <w:r w:rsidR="00102A1C" w:rsidRPr="009D51B7">
        <w:rPr>
          <w:rFonts w:cs="Times New Roman"/>
          <w:bCs/>
        </w:rPr>
        <w:t>.</w:t>
      </w:r>
    </w:p>
    <w:p w14:paraId="09776368" w14:textId="77777777" w:rsidR="007C5DD5" w:rsidRPr="009D51B7" w:rsidRDefault="007C5DD5" w:rsidP="009E7C5D">
      <w:pPr>
        <w:rPr>
          <w:rFonts w:cs="Times New Roman"/>
          <w:bCs/>
        </w:rPr>
      </w:pPr>
    </w:p>
    <w:p w14:paraId="081A859C" w14:textId="0A425628" w:rsidR="004017FB" w:rsidRPr="009D51B7" w:rsidRDefault="0061032D" w:rsidP="009E7C5D">
      <w:pPr>
        <w:rPr>
          <w:rFonts w:cs="Times New Roman"/>
        </w:rPr>
      </w:pPr>
      <w:r>
        <w:rPr>
          <w:rFonts w:cs="Times New Roman"/>
        </w:rPr>
        <w:t xml:space="preserve">5. </w:t>
      </w:r>
      <w:r w:rsidR="00493F92" w:rsidRPr="009D51B7">
        <w:rPr>
          <w:rFonts w:cs="Times New Roman"/>
        </w:rPr>
        <w:t xml:space="preserve">The Economy Roundtable </w:t>
      </w:r>
      <w:r w:rsidR="0037375F" w:rsidRPr="009D51B7">
        <w:rPr>
          <w:rFonts w:cs="Times New Roman"/>
        </w:rPr>
        <w:t xml:space="preserve">served again </w:t>
      </w:r>
      <w:r w:rsidR="009012A7" w:rsidRPr="009D51B7">
        <w:rPr>
          <w:rFonts w:cs="Times New Roman"/>
        </w:rPr>
        <w:t>as a valuable opportunity for the exchange of information among econ</w:t>
      </w:r>
      <w:r w:rsidR="00DA698A" w:rsidRPr="009D51B7">
        <w:rPr>
          <w:rFonts w:cs="Times New Roman"/>
        </w:rPr>
        <w:t xml:space="preserve">omies.  The discussion focused on the cause of rejections for imported wines, economy </w:t>
      </w:r>
      <w:r w:rsidR="00862E1B">
        <w:rPr>
          <w:rFonts w:cs="Times New Roman"/>
        </w:rPr>
        <w:t>mechanisms</w:t>
      </w:r>
      <w:r w:rsidR="00862E1B" w:rsidRPr="009D51B7">
        <w:rPr>
          <w:rFonts w:cs="Times New Roman"/>
        </w:rPr>
        <w:t xml:space="preserve"> </w:t>
      </w:r>
      <w:r w:rsidR="00DA698A" w:rsidRPr="009D51B7">
        <w:rPr>
          <w:rFonts w:cs="Times New Roman"/>
        </w:rPr>
        <w:t>for the approval of winemaking additives,</w:t>
      </w:r>
      <w:r w:rsidR="00572E97" w:rsidRPr="009D51B7">
        <w:rPr>
          <w:rFonts w:cs="Times New Roman"/>
        </w:rPr>
        <w:t xml:space="preserve"> and </w:t>
      </w:r>
      <w:r w:rsidR="00DA698A" w:rsidRPr="009D51B7">
        <w:rPr>
          <w:rFonts w:cs="Times New Roman"/>
        </w:rPr>
        <w:t>the accepta</w:t>
      </w:r>
      <w:r w:rsidR="00BE520D" w:rsidRPr="009D51B7">
        <w:rPr>
          <w:rFonts w:cs="Times New Roman"/>
        </w:rPr>
        <w:t>nce of electronic certificates.</w:t>
      </w:r>
      <w:r w:rsidR="009C5BE4" w:rsidRPr="009D51B7">
        <w:rPr>
          <w:rFonts w:cs="Times New Roman"/>
        </w:rPr>
        <w:t xml:space="preserve">  </w:t>
      </w:r>
      <w:r w:rsidR="00843E30" w:rsidRPr="009D51B7">
        <w:rPr>
          <w:rFonts w:cs="Times New Roman"/>
        </w:rPr>
        <w:t xml:space="preserve">Wines of Chile </w:t>
      </w:r>
      <w:r w:rsidR="00012BA9" w:rsidRPr="009D51B7">
        <w:rPr>
          <w:rFonts w:cs="Times New Roman"/>
        </w:rPr>
        <w:t>shared partial results of research it has con</w:t>
      </w:r>
      <w:r w:rsidR="00572E97" w:rsidRPr="009D51B7">
        <w:rPr>
          <w:rFonts w:cs="Times New Roman"/>
        </w:rPr>
        <w:t xml:space="preserve">cluded </w:t>
      </w:r>
      <w:r w:rsidR="00012BA9" w:rsidRPr="009D51B7">
        <w:rPr>
          <w:rFonts w:cs="Times New Roman"/>
        </w:rPr>
        <w:t>on how pesticide residues dissipate durin</w:t>
      </w:r>
      <w:r w:rsidR="00933D29" w:rsidRPr="009D51B7">
        <w:rPr>
          <w:rFonts w:cs="Times New Roman"/>
        </w:rPr>
        <w:t>g the wine production process</w:t>
      </w:r>
      <w:r w:rsidR="000673A8" w:rsidRPr="009D51B7">
        <w:rPr>
          <w:rFonts w:cs="Times New Roman"/>
        </w:rPr>
        <w:t>.</w:t>
      </w:r>
      <w:r w:rsidR="0038055A" w:rsidRPr="009D51B7">
        <w:rPr>
          <w:rFonts w:cs="Times New Roman"/>
        </w:rPr>
        <w:t xml:space="preserve">  It was observed that </w:t>
      </w:r>
      <w:r w:rsidR="00A755BF" w:rsidRPr="009D51B7">
        <w:rPr>
          <w:rFonts w:cs="Times New Roman"/>
        </w:rPr>
        <w:t xml:space="preserve">some of </w:t>
      </w:r>
      <w:r w:rsidR="0038055A" w:rsidRPr="009D51B7">
        <w:rPr>
          <w:rFonts w:cs="Times New Roman"/>
        </w:rPr>
        <w:t xml:space="preserve">the world’s largest wine importing economies reported no rejections during the last year while smaller importers reported considerable rejections.  </w:t>
      </w:r>
      <w:r w:rsidR="00A755BF" w:rsidRPr="009D51B7">
        <w:rPr>
          <w:rFonts w:cs="Times New Roman"/>
        </w:rPr>
        <w:t>The results of the second round of laboratory ring tests were presented and revealed considerable disparity between values reported by participating regulatory laboratories.</w:t>
      </w:r>
      <w:r w:rsidR="00BC2F3E">
        <w:rPr>
          <w:rFonts w:cs="Times New Roman"/>
        </w:rPr>
        <w:t xml:space="preserve"> </w:t>
      </w:r>
      <w:r w:rsidR="00A755BF" w:rsidRPr="009D51B7">
        <w:rPr>
          <w:rFonts w:cs="Times New Roman"/>
        </w:rPr>
        <w:t xml:space="preserve"> </w:t>
      </w:r>
      <w:r w:rsidR="0038055A" w:rsidRPr="009D51B7">
        <w:rPr>
          <w:rFonts w:cs="Times New Roman"/>
        </w:rPr>
        <w:t xml:space="preserve">There could be a connection between the </w:t>
      </w:r>
      <w:r w:rsidR="00C31E6C" w:rsidRPr="009D51B7">
        <w:rPr>
          <w:rFonts w:cs="Times New Roman"/>
        </w:rPr>
        <w:t xml:space="preserve">results of the ring tests and </w:t>
      </w:r>
      <w:r w:rsidR="00A927DC" w:rsidRPr="009D51B7">
        <w:rPr>
          <w:rFonts w:cs="Times New Roman"/>
        </w:rPr>
        <w:t>the rejections.  Economies are encouraged to work with the Enhanced Risk Controls Working Group to improve testing</w:t>
      </w:r>
      <w:r w:rsidR="004326AC">
        <w:rPr>
          <w:rFonts w:cs="Times New Roman"/>
        </w:rPr>
        <w:t xml:space="preserve"> performance</w:t>
      </w:r>
      <w:r w:rsidR="00A927DC" w:rsidRPr="009D51B7">
        <w:rPr>
          <w:rFonts w:cs="Times New Roman"/>
        </w:rPr>
        <w:t xml:space="preserve">.  </w:t>
      </w:r>
    </w:p>
    <w:p w14:paraId="1F76F1BA" w14:textId="77777777" w:rsidR="008C74EC" w:rsidRDefault="008C74EC" w:rsidP="004017FB">
      <w:pPr>
        <w:rPr>
          <w:rFonts w:cs="Times New Roman"/>
          <w:bCs/>
        </w:rPr>
      </w:pPr>
    </w:p>
    <w:p w14:paraId="270FF49E" w14:textId="5DDAA645" w:rsidR="00FC665A" w:rsidRDefault="0061032D" w:rsidP="00FC665A">
      <w:r>
        <w:t>6.</w:t>
      </w:r>
      <w:r w:rsidRPr="00CF19E1">
        <w:t xml:space="preserve"> </w:t>
      </w:r>
      <w:r w:rsidR="00CF19E1" w:rsidRPr="00CF19E1">
        <w:rPr>
          <w:iCs/>
          <w:lang w:val="en-AU"/>
        </w:rPr>
        <w:t>A wine producer made a presentation on the practical implications of regulation concerning winemaking additives and processing aids</w:t>
      </w:r>
      <w:r w:rsidR="00CF19E1" w:rsidRPr="00CF19E1">
        <w:rPr>
          <w:lang w:val="en-AU"/>
        </w:rPr>
        <w:t>.</w:t>
      </w:r>
      <w:r w:rsidR="00CF19E1">
        <w:rPr>
          <w:lang w:val="en-AU"/>
        </w:rPr>
        <w:t xml:space="preserve">  </w:t>
      </w:r>
      <w:r w:rsidR="00FC665A">
        <w:t>Key takeaways from the presentation included the concepts that: (1) wine is a single ingredient food</w:t>
      </w:r>
      <w:r w:rsidR="004326AC">
        <w:t xml:space="preserve"> as opposed to a recipe product</w:t>
      </w:r>
      <w:r w:rsidR="00442D08">
        <w:t>;</w:t>
      </w:r>
      <w:r w:rsidR="00FC665A">
        <w:t xml:space="preserve"> (2) substances used in winemaking are safe, and </w:t>
      </w:r>
      <w:r w:rsidR="00BC2F3E">
        <w:t xml:space="preserve">often </w:t>
      </w:r>
      <w:r w:rsidR="00FC665A">
        <w:t>naturally occurring</w:t>
      </w:r>
      <w:r w:rsidR="00442D08">
        <w:t>;</w:t>
      </w:r>
      <w:r w:rsidR="00FC665A">
        <w:t xml:space="preserve"> (3) many substances used in winemaking</w:t>
      </w:r>
      <w:r w:rsidR="006C6BA7">
        <w:t xml:space="preserve"> </w:t>
      </w:r>
      <w:r w:rsidR="00FC665A">
        <w:t>simply supplement compounds already present in grapes and wines</w:t>
      </w:r>
      <w:r w:rsidR="00442D08">
        <w:t>;</w:t>
      </w:r>
      <w:r w:rsidR="00FC665A">
        <w:t xml:space="preserve"> (4) winemaker</w:t>
      </w:r>
      <w:r w:rsidR="006C6BA7">
        <w:t>s</w:t>
      </w:r>
      <w:r w:rsidR="004326AC">
        <w:t>’</w:t>
      </w:r>
      <w:r w:rsidR="00FC665A">
        <w:t xml:space="preserve"> use </w:t>
      </w:r>
      <w:r w:rsidR="00081F63">
        <w:t xml:space="preserve">of </w:t>
      </w:r>
      <w:r w:rsidR="00FC665A">
        <w:t xml:space="preserve">additives </w:t>
      </w:r>
      <w:r w:rsidR="004326AC">
        <w:t xml:space="preserve">and </w:t>
      </w:r>
      <w:r w:rsidR="00FC665A">
        <w:t xml:space="preserve">processing aids </w:t>
      </w:r>
      <w:r w:rsidR="004326AC">
        <w:t xml:space="preserve">will vary according to factors such as </w:t>
      </w:r>
      <w:r w:rsidR="00FC665A">
        <w:t>differ</w:t>
      </w:r>
      <w:r w:rsidR="00081F63">
        <w:t xml:space="preserve">ent </w:t>
      </w:r>
      <w:r w:rsidR="00FC665A">
        <w:t xml:space="preserve"> growing conditions, </w:t>
      </w:r>
      <w:r w:rsidR="004326AC">
        <w:t>winemaking styles, and climate</w:t>
      </w:r>
      <w:r w:rsidR="00442D08">
        <w:t xml:space="preserve">; </w:t>
      </w:r>
      <w:r w:rsidR="00FC665A">
        <w:t xml:space="preserve"> (5) </w:t>
      </w:r>
      <w:r w:rsidR="00442D08">
        <w:t xml:space="preserve">and </w:t>
      </w:r>
      <w:r w:rsidR="00FC665A">
        <w:t>where substances have been evaluated by JECF</w:t>
      </w:r>
      <w:r w:rsidR="00BC2F3E">
        <w:t>A</w:t>
      </w:r>
      <w:r w:rsidR="00BC2F3E">
        <w:rPr>
          <w:rStyle w:val="FootnoteReference"/>
        </w:rPr>
        <w:footnoteReference w:id="2"/>
      </w:r>
      <w:r w:rsidR="00BC2F3E">
        <w:t xml:space="preserve"> </w:t>
      </w:r>
      <w:r w:rsidR="00FC665A">
        <w:t xml:space="preserve">and </w:t>
      </w:r>
      <w:r w:rsidR="004326AC">
        <w:t xml:space="preserve">assigned an </w:t>
      </w:r>
      <w:r w:rsidR="000F0AC6">
        <w:t>Acceptable Daily Intake</w:t>
      </w:r>
      <w:r w:rsidR="00FC665A">
        <w:t xml:space="preserve"> “</w:t>
      </w:r>
      <w:r w:rsidR="000F0AC6">
        <w:t>N</w:t>
      </w:r>
      <w:r w:rsidR="00FC665A">
        <w:t xml:space="preserve">ot </w:t>
      </w:r>
      <w:r w:rsidR="000F0AC6">
        <w:t>S</w:t>
      </w:r>
      <w:r w:rsidR="00FC665A">
        <w:t xml:space="preserve">pecified” designation, a </w:t>
      </w:r>
      <w:r w:rsidR="00081F63">
        <w:t xml:space="preserve">maximum use level of </w:t>
      </w:r>
      <w:r w:rsidR="00FC665A">
        <w:t xml:space="preserve">Good Manufacturing Practice (GMP) could be an effective means of removing unnecessary barriers to trade. </w:t>
      </w:r>
    </w:p>
    <w:p w14:paraId="61323ECA" w14:textId="77777777" w:rsidR="00FC665A" w:rsidRDefault="00FC665A" w:rsidP="008C74EC">
      <w:pPr>
        <w:rPr>
          <w:rFonts w:cs="Times New Roman"/>
          <w:bCs/>
        </w:rPr>
      </w:pPr>
    </w:p>
    <w:p w14:paraId="558334C6" w14:textId="504C88D3" w:rsidR="008C74EC" w:rsidRDefault="0061032D" w:rsidP="008C74EC">
      <w:pPr>
        <w:rPr>
          <w:rFonts w:cs="Times New Roman"/>
          <w:bCs/>
        </w:rPr>
      </w:pPr>
      <w:r>
        <w:rPr>
          <w:rFonts w:cs="Times New Roman"/>
          <w:bCs/>
        </w:rPr>
        <w:t xml:space="preserve">7. </w:t>
      </w:r>
      <w:r w:rsidR="007112B5" w:rsidRPr="009D51B7">
        <w:rPr>
          <w:rFonts w:cs="Times New Roman"/>
          <w:bCs/>
        </w:rPr>
        <w:t>The</w:t>
      </w:r>
      <w:r w:rsidR="00AB1BD7" w:rsidRPr="009D51B7">
        <w:rPr>
          <w:rFonts w:cs="Times New Roman"/>
          <w:bCs/>
        </w:rPr>
        <w:t xml:space="preserve"> </w:t>
      </w:r>
      <w:r w:rsidR="008C74EC" w:rsidRPr="009D51B7">
        <w:rPr>
          <w:rFonts w:cs="Times New Roman"/>
          <w:bCs/>
        </w:rPr>
        <w:t>FIVS-</w:t>
      </w:r>
      <w:r w:rsidR="006C6BA7" w:rsidRPr="009D51B7">
        <w:rPr>
          <w:rFonts w:cs="Times New Roman"/>
          <w:bCs/>
        </w:rPr>
        <w:t>A</w:t>
      </w:r>
      <w:r w:rsidR="006C6BA7">
        <w:rPr>
          <w:rFonts w:cs="Times New Roman"/>
          <w:bCs/>
        </w:rPr>
        <w:t>pace</w:t>
      </w:r>
      <w:r w:rsidR="00BC2F3E">
        <w:rPr>
          <w:rStyle w:val="FootnoteReference"/>
          <w:rFonts w:cs="Times New Roman"/>
          <w:bCs/>
        </w:rPr>
        <w:footnoteReference w:id="3"/>
      </w:r>
      <w:r w:rsidR="008C74EC" w:rsidRPr="009D51B7">
        <w:rPr>
          <w:rFonts w:cs="Times New Roman"/>
          <w:bCs/>
        </w:rPr>
        <w:t xml:space="preserve"> </w:t>
      </w:r>
      <w:r w:rsidR="00864F74" w:rsidRPr="009D51B7">
        <w:rPr>
          <w:rFonts w:cs="Times New Roman"/>
          <w:bCs/>
        </w:rPr>
        <w:t>database for additives and processing aids w</w:t>
      </w:r>
      <w:r w:rsidR="008C74EC" w:rsidRPr="009D51B7">
        <w:rPr>
          <w:rFonts w:cs="Times New Roman"/>
          <w:bCs/>
        </w:rPr>
        <w:t xml:space="preserve">as </w:t>
      </w:r>
      <w:r w:rsidR="007112B5" w:rsidRPr="009D51B7">
        <w:rPr>
          <w:rFonts w:cs="Times New Roman"/>
          <w:bCs/>
        </w:rPr>
        <w:t xml:space="preserve">previewed and may be available to </w:t>
      </w:r>
      <w:r w:rsidR="00864F74" w:rsidRPr="009D51B7">
        <w:rPr>
          <w:rFonts w:cs="Times New Roman"/>
          <w:bCs/>
        </w:rPr>
        <w:t xml:space="preserve">WRF </w:t>
      </w:r>
      <w:r w:rsidR="00D96B97" w:rsidRPr="009D51B7">
        <w:rPr>
          <w:rFonts w:cs="Times New Roman"/>
          <w:bCs/>
        </w:rPr>
        <w:t xml:space="preserve">economy regulators </w:t>
      </w:r>
      <w:r w:rsidR="00864F74" w:rsidRPr="009D51B7">
        <w:rPr>
          <w:rFonts w:cs="Times New Roman"/>
          <w:bCs/>
        </w:rPr>
        <w:t xml:space="preserve">at the 2017 </w:t>
      </w:r>
      <w:r w:rsidR="00185C5D">
        <w:rPr>
          <w:rFonts w:cs="Times New Roman"/>
          <w:bCs/>
        </w:rPr>
        <w:t xml:space="preserve">WRF </w:t>
      </w:r>
      <w:r w:rsidR="00864F74" w:rsidRPr="009D51B7">
        <w:rPr>
          <w:rFonts w:cs="Times New Roman"/>
          <w:bCs/>
        </w:rPr>
        <w:t xml:space="preserve">meeting.  </w:t>
      </w:r>
    </w:p>
    <w:p w14:paraId="2DAD79F0" w14:textId="77777777" w:rsidR="00EB4524" w:rsidRDefault="00EB4524" w:rsidP="008C74EC">
      <w:pPr>
        <w:rPr>
          <w:rFonts w:cs="Times New Roman"/>
          <w:bCs/>
        </w:rPr>
      </w:pPr>
    </w:p>
    <w:p w14:paraId="30EA58B1" w14:textId="31BA957E" w:rsidR="00EB4524" w:rsidRDefault="0061032D" w:rsidP="00EB4524">
      <w:pPr>
        <w:rPr>
          <w:lang w:val="en-AU"/>
        </w:rPr>
      </w:pPr>
      <w:r>
        <w:rPr>
          <w:lang w:val="en-AU"/>
        </w:rPr>
        <w:t xml:space="preserve">8. </w:t>
      </w:r>
      <w:r w:rsidR="00EB4524">
        <w:rPr>
          <w:lang w:val="en-AU"/>
        </w:rPr>
        <w:t xml:space="preserve">A presentation on the progress of approvals for wine additives in the Codex Committee on Food Additives (CCFA) was made.  The </w:t>
      </w:r>
      <w:r w:rsidR="00EB4524">
        <w:rPr>
          <w:lang w:val="en-GB"/>
        </w:rPr>
        <w:t>49</w:t>
      </w:r>
      <w:r w:rsidR="00EB4524">
        <w:rPr>
          <w:vertAlign w:val="superscript"/>
          <w:lang w:val="en-GB"/>
        </w:rPr>
        <w:t>th</w:t>
      </w:r>
      <w:r w:rsidR="00EB4524">
        <w:rPr>
          <w:lang w:val="en-GB"/>
        </w:rPr>
        <w:t xml:space="preserve"> CCFA will be held in March 2017 in China.  The meeting will consider the recommendations from an electronic Working Group established </w:t>
      </w:r>
      <w:r w:rsidR="00EB4524">
        <w:rPr>
          <w:lang w:val="en-AU"/>
        </w:rPr>
        <w:t xml:space="preserve">to </w:t>
      </w:r>
      <w:r w:rsidR="000F0AC6">
        <w:rPr>
          <w:lang w:val="en-AU"/>
        </w:rPr>
        <w:t>“</w:t>
      </w:r>
      <w:r w:rsidR="00EB4524" w:rsidRPr="00CF19E1">
        <w:rPr>
          <w:iCs/>
          <w:lang w:val="en-GB"/>
        </w:rPr>
        <w:t xml:space="preserve">develop and analyse recommendations for the amendment of the </w:t>
      </w:r>
      <w:r w:rsidR="006C6BA7">
        <w:rPr>
          <w:iCs/>
          <w:lang w:val="en-GB"/>
        </w:rPr>
        <w:t>[</w:t>
      </w:r>
      <w:r w:rsidR="004B0FB8" w:rsidRPr="00CF19E1">
        <w:rPr>
          <w:iCs/>
          <w:lang w:val="en-GB"/>
        </w:rPr>
        <w:t>General Standard for Food Additives (</w:t>
      </w:r>
      <w:r w:rsidR="00EB4524" w:rsidRPr="00CF19E1">
        <w:rPr>
          <w:iCs/>
          <w:lang w:val="en-GB"/>
        </w:rPr>
        <w:t>GSFA</w:t>
      </w:r>
      <w:r w:rsidR="004B0FB8" w:rsidRPr="00CF19E1">
        <w:rPr>
          <w:iCs/>
          <w:lang w:val="en-GB"/>
        </w:rPr>
        <w:t>)</w:t>
      </w:r>
      <w:r w:rsidR="006C6BA7">
        <w:rPr>
          <w:iCs/>
          <w:lang w:val="en-GB"/>
        </w:rPr>
        <w:t>]</w:t>
      </w:r>
      <w:r w:rsidR="00EB4524" w:rsidRPr="00CF19E1">
        <w:rPr>
          <w:iCs/>
          <w:lang w:val="en-GB"/>
        </w:rPr>
        <w:t xml:space="preserve"> with respect to food additives in wine</w:t>
      </w:r>
      <w:r w:rsidR="00EB4524">
        <w:rPr>
          <w:i/>
          <w:iCs/>
          <w:lang w:val="en-GB"/>
        </w:rPr>
        <w:t>.</w:t>
      </w:r>
      <w:r w:rsidR="000F0AC6" w:rsidRPr="00CF19E1">
        <w:rPr>
          <w:iCs/>
          <w:lang w:val="en-GB"/>
        </w:rPr>
        <w:t>”</w:t>
      </w:r>
      <w:r w:rsidR="006C6BA7">
        <w:rPr>
          <w:rStyle w:val="FootnoteReference"/>
          <w:iCs/>
          <w:lang w:val="en-GB"/>
        </w:rPr>
        <w:footnoteReference w:id="4"/>
      </w:r>
      <w:r w:rsidR="00EB4524" w:rsidRPr="00CF19E1">
        <w:rPr>
          <w:iCs/>
          <w:lang w:val="en-GB"/>
        </w:rPr>
        <w:t xml:space="preserve">  </w:t>
      </w:r>
      <w:r w:rsidR="00EB4524">
        <w:t xml:space="preserve">APEC member economies were urged to </w:t>
      </w:r>
      <w:r w:rsidR="00EB4524">
        <w:rPr>
          <w:lang w:val="en-AU"/>
        </w:rPr>
        <w:t xml:space="preserve">preserve the integrity of the GSFA and </w:t>
      </w:r>
      <w:r w:rsidR="00185C5D">
        <w:rPr>
          <w:lang w:val="en-AU"/>
        </w:rPr>
        <w:t xml:space="preserve">consider that </w:t>
      </w:r>
      <w:r w:rsidR="00EB4524">
        <w:rPr>
          <w:lang w:val="en-AU"/>
        </w:rPr>
        <w:t xml:space="preserve">unless </w:t>
      </w:r>
      <w:r w:rsidR="00185C5D">
        <w:rPr>
          <w:lang w:val="en-AU"/>
        </w:rPr>
        <w:t xml:space="preserve">a </w:t>
      </w:r>
      <w:r w:rsidR="00EB4524">
        <w:rPr>
          <w:lang w:val="en-AU"/>
        </w:rPr>
        <w:t xml:space="preserve">scientific justification or </w:t>
      </w:r>
      <w:r w:rsidR="00EB4524">
        <w:rPr>
          <w:lang w:val="en-AU"/>
        </w:rPr>
        <w:lastRenderedPageBreak/>
        <w:t>health and safety reason for a limit can be provided</w:t>
      </w:r>
      <w:r w:rsidR="00185C5D">
        <w:rPr>
          <w:lang w:val="en-AU"/>
        </w:rPr>
        <w:t>,</w:t>
      </w:r>
      <w:r w:rsidR="00EB4524">
        <w:rPr>
          <w:lang w:val="en-AU"/>
        </w:rPr>
        <w:t xml:space="preserve"> then </w:t>
      </w:r>
      <w:r w:rsidR="00801752">
        <w:rPr>
          <w:lang w:val="en-AU"/>
        </w:rPr>
        <w:t xml:space="preserve">a </w:t>
      </w:r>
      <w:r w:rsidR="00EB4524">
        <w:rPr>
          <w:lang w:val="en-AU"/>
        </w:rPr>
        <w:t>GMP</w:t>
      </w:r>
      <w:r w:rsidR="00801752">
        <w:rPr>
          <w:lang w:val="en-AU"/>
        </w:rPr>
        <w:t xml:space="preserve"> approach</w:t>
      </w:r>
      <w:r w:rsidR="00EB4524">
        <w:rPr>
          <w:lang w:val="en-AU"/>
        </w:rPr>
        <w:t xml:space="preserve"> is appropriate.  The additives under consideration should be approved regardless of the </w:t>
      </w:r>
      <w:r w:rsidR="00297CB9">
        <w:rPr>
          <w:lang w:val="en-AU"/>
        </w:rPr>
        <w:t xml:space="preserve">presence of any </w:t>
      </w:r>
      <w:r w:rsidR="00EB4524">
        <w:rPr>
          <w:lang w:val="en-AU"/>
        </w:rPr>
        <w:t>footnote as they are commonly used internationally, have no health or safety implications</w:t>
      </w:r>
      <w:r w:rsidR="00801752">
        <w:rPr>
          <w:lang w:val="en-AU"/>
        </w:rPr>
        <w:t>,</w:t>
      </w:r>
      <w:r w:rsidR="00EB4524">
        <w:rPr>
          <w:lang w:val="en-AU"/>
        </w:rPr>
        <w:t xml:space="preserve"> and have a proven technical function.  Failure to agree at the next meeting of the CCFA will have serious impacts on trade in wine.</w:t>
      </w:r>
    </w:p>
    <w:p w14:paraId="737F1399" w14:textId="77777777" w:rsidR="00CC38C7" w:rsidRDefault="00CC38C7" w:rsidP="00EB4524">
      <w:pPr>
        <w:rPr>
          <w:lang w:val="en-AU"/>
        </w:rPr>
      </w:pPr>
    </w:p>
    <w:p w14:paraId="091B1524" w14:textId="3C139604" w:rsidR="00CC38C7" w:rsidRDefault="0061032D" w:rsidP="00CC38C7">
      <w:r>
        <w:t xml:space="preserve">9. </w:t>
      </w:r>
      <w:r w:rsidR="00CC38C7">
        <w:t xml:space="preserve">The regulatory issues surrounding the presence of methanol </w:t>
      </w:r>
      <w:r w:rsidR="00185C5D">
        <w:t>i</w:t>
      </w:r>
      <w:r w:rsidR="00CC38C7">
        <w:t xml:space="preserve">n wine </w:t>
      </w:r>
      <w:r w:rsidR="00297CB9">
        <w:t xml:space="preserve">were </w:t>
      </w:r>
      <w:r w:rsidR="00CC38C7">
        <w:t xml:space="preserve">highlighted </w:t>
      </w:r>
      <w:r w:rsidR="00297CB9">
        <w:t xml:space="preserve">in </w:t>
      </w:r>
      <w:r w:rsidR="00886542">
        <w:t>a</w:t>
      </w:r>
      <w:r w:rsidR="00297CB9">
        <w:t xml:space="preserve"> </w:t>
      </w:r>
      <w:r w:rsidR="00CC38C7">
        <w:t xml:space="preserve">presentation.  It emerged that the levels of </w:t>
      </w:r>
      <w:r w:rsidR="00081F63">
        <w:t xml:space="preserve">naturally occurring </w:t>
      </w:r>
      <w:r w:rsidR="00CC38C7">
        <w:t>methanol typically found in wine are not a matter of public health concern.  Regulatory limits have been set historically for technological, rather than toxicological, reasons.  Accordingly, economies were urged to consider whether routine testing for methanol is necessary as part of a certificate of analysis linked to market entry of wine.  Where economies decid</w:t>
      </w:r>
      <w:r w:rsidR="00C46729">
        <w:t>e to maintain limits</w:t>
      </w:r>
      <w:r w:rsidR="00297CB9">
        <w:t xml:space="preserve"> on methanol, </w:t>
      </w:r>
      <w:r w:rsidR="00C46729">
        <w:t>they</w:t>
      </w:r>
      <w:r w:rsidR="00CC38C7">
        <w:t xml:space="preserve"> were encouraged to establish them in light of all permitted winemaking practices and to harmonize values where possible with those in other economies’ regulations.</w:t>
      </w:r>
    </w:p>
    <w:p w14:paraId="6D1FD89A" w14:textId="77777777" w:rsidR="00CC38C7" w:rsidRDefault="00CC38C7" w:rsidP="00EB4524">
      <w:pPr>
        <w:rPr>
          <w:lang w:val="en-AU"/>
        </w:rPr>
      </w:pPr>
    </w:p>
    <w:p w14:paraId="5405B85C" w14:textId="77777777" w:rsidR="00DF0365" w:rsidRDefault="00DF0365" w:rsidP="00EB4524">
      <w:pPr>
        <w:rPr>
          <w:lang w:val="en-AU"/>
        </w:rPr>
      </w:pPr>
    </w:p>
    <w:p w14:paraId="0BEE67EE" w14:textId="66202A73" w:rsidR="00D7523F" w:rsidRPr="009D51B7" w:rsidRDefault="00D7523F" w:rsidP="00D7523F">
      <w:pPr>
        <w:jc w:val="center"/>
        <w:rPr>
          <w:rFonts w:cs="Times New Roman"/>
          <w:b/>
          <w:sz w:val="28"/>
          <w:szCs w:val="28"/>
        </w:rPr>
      </w:pPr>
      <w:r w:rsidRPr="009D51B7">
        <w:rPr>
          <w:rFonts w:cs="Times New Roman"/>
          <w:b/>
          <w:sz w:val="28"/>
          <w:szCs w:val="28"/>
        </w:rPr>
        <w:t>Outcomes and Next Steps</w:t>
      </w:r>
    </w:p>
    <w:p w14:paraId="5415DF31" w14:textId="77777777" w:rsidR="00D7523F" w:rsidRPr="009D51B7" w:rsidRDefault="00D7523F" w:rsidP="000106E0">
      <w:pPr>
        <w:rPr>
          <w:rFonts w:cs="Times New Roman"/>
          <w:color w:val="7030A0"/>
        </w:rPr>
      </w:pPr>
    </w:p>
    <w:p w14:paraId="084E78E3" w14:textId="59CDAEC9" w:rsidR="00C24F2D" w:rsidRPr="009D51B7" w:rsidRDefault="00D7523F" w:rsidP="000106E0">
      <w:pPr>
        <w:rPr>
          <w:rFonts w:cs="Times New Roman"/>
        </w:rPr>
      </w:pPr>
      <w:r w:rsidRPr="009D51B7">
        <w:rPr>
          <w:rFonts w:cs="Times New Roman"/>
        </w:rPr>
        <w:t xml:space="preserve">Following on the </w:t>
      </w:r>
      <w:r w:rsidR="001F209A">
        <w:rPr>
          <w:rFonts w:cs="Times New Roman"/>
        </w:rPr>
        <w:t xml:space="preserve">2016 </w:t>
      </w:r>
      <w:r w:rsidRPr="009D51B7">
        <w:rPr>
          <w:rFonts w:cs="Times New Roman"/>
        </w:rPr>
        <w:t>endorsement of APEC Model Wine Certificate</w:t>
      </w:r>
      <w:r w:rsidRPr="009D51B7">
        <w:rPr>
          <w:rStyle w:val="FootnoteReference"/>
          <w:rFonts w:cs="Times New Roman"/>
        </w:rPr>
        <w:footnoteReference w:id="5"/>
      </w:r>
      <w:r w:rsidRPr="009D51B7">
        <w:rPr>
          <w:rFonts w:cs="Times New Roman"/>
        </w:rPr>
        <w:t xml:space="preserve"> </w:t>
      </w:r>
      <w:r w:rsidR="003E6374" w:rsidRPr="009D51B7">
        <w:rPr>
          <w:rFonts w:cs="Times New Roman"/>
        </w:rPr>
        <w:t>by the APEC Committee on Trade and Investment</w:t>
      </w:r>
      <w:r w:rsidRPr="009D51B7">
        <w:rPr>
          <w:rFonts w:cs="Times New Roman"/>
        </w:rPr>
        <w:t xml:space="preserve"> </w:t>
      </w:r>
      <w:r w:rsidR="00801752">
        <w:rPr>
          <w:rFonts w:cs="Times New Roman"/>
        </w:rPr>
        <w:t xml:space="preserve">(CTI) </w:t>
      </w:r>
      <w:r w:rsidRPr="009D51B7">
        <w:rPr>
          <w:rFonts w:cs="Times New Roman"/>
        </w:rPr>
        <w:t xml:space="preserve">at </w:t>
      </w:r>
      <w:r w:rsidR="004E7FFE">
        <w:rPr>
          <w:rFonts w:cs="Times New Roman"/>
        </w:rPr>
        <w:t>the Second Senior Officials’ Meeting (</w:t>
      </w:r>
      <w:r w:rsidRPr="009D51B7">
        <w:rPr>
          <w:rFonts w:cs="Times New Roman"/>
        </w:rPr>
        <w:t>SOM</w:t>
      </w:r>
      <w:r w:rsidR="00862E1B">
        <w:rPr>
          <w:rFonts w:cs="Times New Roman"/>
        </w:rPr>
        <w:t>2</w:t>
      </w:r>
      <w:r w:rsidR="004E7FFE">
        <w:rPr>
          <w:rFonts w:cs="Times New Roman"/>
        </w:rPr>
        <w:t>)</w:t>
      </w:r>
      <w:r w:rsidRPr="009D51B7">
        <w:rPr>
          <w:rFonts w:cs="Times New Roman"/>
        </w:rPr>
        <w:t xml:space="preserve"> in Peru, the</w:t>
      </w:r>
      <w:r w:rsidR="001F209A">
        <w:rPr>
          <w:rFonts w:cs="Times New Roman"/>
        </w:rPr>
        <w:t xml:space="preserve"> WRF</w:t>
      </w:r>
      <w:r w:rsidRPr="009D51B7">
        <w:rPr>
          <w:rFonts w:cs="Times New Roman"/>
        </w:rPr>
        <w:t xml:space="preserve"> </w:t>
      </w:r>
      <w:r w:rsidR="000106E0" w:rsidRPr="00012917">
        <w:rPr>
          <w:rFonts w:cs="Times New Roman"/>
          <w:b/>
          <w:color w:val="FF0000"/>
        </w:rPr>
        <w:t xml:space="preserve">Working Group on </w:t>
      </w:r>
      <w:r w:rsidRPr="00012917">
        <w:rPr>
          <w:rFonts w:cs="Times New Roman"/>
          <w:b/>
          <w:color w:val="FF0000"/>
        </w:rPr>
        <w:t>Export Certificates</w:t>
      </w:r>
      <w:r w:rsidRPr="009D51B7">
        <w:rPr>
          <w:rFonts w:cs="Times New Roman"/>
        </w:rPr>
        <w:t xml:space="preserve"> outlined its two</w:t>
      </w:r>
      <w:r w:rsidR="004B0FB8">
        <w:rPr>
          <w:rFonts w:cs="Times New Roman"/>
        </w:rPr>
        <w:t>-</w:t>
      </w:r>
      <w:r w:rsidRPr="009D51B7">
        <w:rPr>
          <w:rFonts w:cs="Times New Roman"/>
        </w:rPr>
        <w:t>pronged plan towards implementation of the Model Certificate.</w:t>
      </w:r>
      <w:r w:rsidR="00596E0B" w:rsidRPr="009D51B7">
        <w:rPr>
          <w:rFonts w:cs="Times New Roman"/>
        </w:rPr>
        <w:t xml:space="preserve">  Members also shared experiences on the length of time it </w:t>
      </w:r>
      <w:r w:rsidR="00436EEF">
        <w:rPr>
          <w:rFonts w:cs="Times New Roman"/>
        </w:rPr>
        <w:t xml:space="preserve">currently </w:t>
      </w:r>
      <w:r w:rsidR="00596E0B" w:rsidRPr="009D51B7">
        <w:rPr>
          <w:rFonts w:cs="Times New Roman"/>
        </w:rPr>
        <w:t xml:space="preserve">takes for </w:t>
      </w:r>
      <w:r w:rsidR="00185C5D">
        <w:rPr>
          <w:rFonts w:cs="Times New Roman"/>
        </w:rPr>
        <w:t>r</w:t>
      </w:r>
      <w:r w:rsidR="00596E0B" w:rsidRPr="009D51B7">
        <w:rPr>
          <w:rFonts w:cs="Times New Roman"/>
        </w:rPr>
        <w:t xml:space="preserve">egulators to issue </w:t>
      </w:r>
      <w:r w:rsidR="00436EEF">
        <w:rPr>
          <w:rFonts w:cs="Times New Roman"/>
        </w:rPr>
        <w:t xml:space="preserve">export </w:t>
      </w:r>
      <w:r w:rsidR="00596E0B" w:rsidRPr="009D51B7">
        <w:rPr>
          <w:rFonts w:cs="Times New Roman"/>
        </w:rPr>
        <w:t>certificates</w:t>
      </w:r>
      <w:r w:rsidR="004B0FB8">
        <w:rPr>
          <w:rFonts w:cs="Times New Roman"/>
        </w:rPr>
        <w:t>,</w:t>
      </w:r>
      <w:r w:rsidR="00596E0B" w:rsidRPr="009D51B7">
        <w:rPr>
          <w:rFonts w:cs="Times New Roman"/>
        </w:rPr>
        <w:t xml:space="preserve"> noting that the average is 2-5 days.  </w:t>
      </w:r>
      <w:r w:rsidR="00C24F2D" w:rsidRPr="009D51B7">
        <w:rPr>
          <w:rFonts w:cs="Times New Roman"/>
        </w:rPr>
        <w:t xml:space="preserve">   </w:t>
      </w:r>
    </w:p>
    <w:p w14:paraId="482EB45E" w14:textId="77777777" w:rsidR="00F67517" w:rsidRPr="009D51B7" w:rsidRDefault="00F67517" w:rsidP="000106E0">
      <w:pPr>
        <w:rPr>
          <w:rFonts w:cs="Times New Roman"/>
        </w:rPr>
      </w:pPr>
    </w:p>
    <w:p w14:paraId="511F0942" w14:textId="77777777" w:rsidR="00596E0B" w:rsidRPr="009D51B7" w:rsidRDefault="00C24F2D" w:rsidP="00596E0B">
      <w:pPr>
        <w:rPr>
          <w:rFonts w:cs="Times New Roman"/>
        </w:rPr>
      </w:pPr>
      <w:r w:rsidRPr="009D51B7">
        <w:rPr>
          <w:rFonts w:cs="Times New Roman"/>
        </w:rPr>
        <w:t>The next steps for this Working Group include:</w:t>
      </w:r>
    </w:p>
    <w:p w14:paraId="691704BC" w14:textId="6760F375" w:rsidR="00C24F2D" w:rsidRPr="009D51B7" w:rsidRDefault="00596E0B" w:rsidP="00596E0B">
      <w:pPr>
        <w:pStyle w:val="ListParagraph"/>
        <w:numPr>
          <w:ilvl w:val="0"/>
          <w:numId w:val="13"/>
        </w:numPr>
        <w:rPr>
          <w:rFonts w:cs="Times New Roman"/>
        </w:rPr>
      </w:pPr>
      <w:r w:rsidRPr="009D51B7">
        <w:rPr>
          <w:rFonts w:cs="Times New Roman"/>
        </w:rPr>
        <w:t xml:space="preserve">The </w:t>
      </w:r>
      <w:r w:rsidR="00185C5D">
        <w:rPr>
          <w:rFonts w:cs="Times New Roman"/>
        </w:rPr>
        <w:t>United States</w:t>
      </w:r>
      <w:r w:rsidR="00185C5D" w:rsidRPr="009D51B7">
        <w:rPr>
          <w:rFonts w:cs="Times New Roman"/>
        </w:rPr>
        <w:t xml:space="preserve"> </w:t>
      </w:r>
      <w:r w:rsidRPr="009D51B7">
        <w:rPr>
          <w:rFonts w:cs="Times New Roman"/>
        </w:rPr>
        <w:t>will continue to engage bilaterally with key partners and will report</w:t>
      </w:r>
      <w:r w:rsidR="00436EEF">
        <w:rPr>
          <w:rFonts w:cs="Times New Roman"/>
        </w:rPr>
        <w:t xml:space="preserve"> on</w:t>
      </w:r>
      <w:r w:rsidRPr="009D51B7">
        <w:rPr>
          <w:rFonts w:cs="Times New Roman"/>
        </w:rPr>
        <w:t xml:space="preserve"> its progress at the 2017 WRF</w:t>
      </w:r>
      <w:r w:rsidR="00185C5D">
        <w:rPr>
          <w:rFonts w:cs="Times New Roman"/>
        </w:rPr>
        <w:t xml:space="preserve"> meeting</w:t>
      </w:r>
      <w:r w:rsidRPr="009D51B7">
        <w:rPr>
          <w:rFonts w:cs="Times New Roman"/>
        </w:rPr>
        <w:t xml:space="preserve">.  All economies </w:t>
      </w:r>
      <w:r w:rsidR="00185C5D">
        <w:rPr>
          <w:rFonts w:cs="Times New Roman"/>
        </w:rPr>
        <w:t>that</w:t>
      </w:r>
      <w:r w:rsidR="00185C5D" w:rsidRPr="009D51B7">
        <w:rPr>
          <w:rFonts w:cs="Times New Roman"/>
        </w:rPr>
        <w:t xml:space="preserve"> </w:t>
      </w:r>
      <w:r w:rsidRPr="009D51B7">
        <w:rPr>
          <w:rFonts w:cs="Times New Roman"/>
        </w:rPr>
        <w:t xml:space="preserve">issue export certificates are encouraged to work bilaterally to encourage implementation of the </w:t>
      </w:r>
      <w:r w:rsidR="00081F63">
        <w:rPr>
          <w:rFonts w:cs="Times New Roman"/>
        </w:rPr>
        <w:t xml:space="preserve">voluntary </w:t>
      </w:r>
      <w:r w:rsidRPr="009D51B7">
        <w:rPr>
          <w:rFonts w:cs="Times New Roman"/>
        </w:rPr>
        <w:t>Model</w:t>
      </w:r>
      <w:r w:rsidR="00185C5D">
        <w:rPr>
          <w:rFonts w:cs="Times New Roman"/>
        </w:rPr>
        <w:t xml:space="preserve"> Certificate</w:t>
      </w:r>
      <w:r w:rsidR="00081F63">
        <w:rPr>
          <w:rFonts w:cs="Times New Roman"/>
        </w:rPr>
        <w:t xml:space="preserve"> where it could be used to consolidate requirements and reduce the overall burden of certificates.</w:t>
      </w:r>
    </w:p>
    <w:p w14:paraId="1184FA54" w14:textId="297C07FC" w:rsidR="00596E0B" w:rsidRPr="009D51B7" w:rsidRDefault="00185C5D" w:rsidP="000F0AC6">
      <w:pPr>
        <w:pStyle w:val="ListParagraph"/>
        <w:numPr>
          <w:ilvl w:val="0"/>
          <w:numId w:val="13"/>
        </w:numPr>
        <w:rPr>
          <w:rFonts w:cs="Times New Roman"/>
        </w:rPr>
      </w:pPr>
      <w:r>
        <w:rPr>
          <w:rFonts w:cs="Times New Roman"/>
        </w:rPr>
        <w:t>The U.S.-APEC Technical Assistance to Advance Regional Integration (US</w:t>
      </w:r>
      <w:r w:rsidR="00596E0B" w:rsidRPr="009D51B7">
        <w:rPr>
          <w:rFonts w:cs="Times New Roman"/>
        </w:rPr>
        <w:t>-ATAARI</w:t>
      </w:r>
      <w:r>
        <w:rPr>
          <w:rFonts w:cs="Times New Roman"/>
        </w:rPr>
        <w:t>) initiative</w:t>
      </w:r>
      <w:r w:rsidR="00596E0B" w:rsidRPr="009D51B7">
        <w:rPr>
          <w:rFonts w:cs="Times New Roman"/>
        </w:rPr>
        <w:t xml:space="preserve"> will begin work on a Business Case Study Report</w:t>
      </w:r>
      <w:r w:rsidR="00F67517" w:rsidRPr="009D51B7">
        <w:rPr>
          <w:rFonts w:cs="Times New Roman"/>
        </w:rPr>
        <w:t xml:space="preserve"> to </w:t>
      </w:r>
      <w:r w:rsidR="003E6374" w:rsidRPr="009D51B7">
        <w:rPr>
          <w:rFonts w:cs="Times New Roman"/>
        </w:rPr>
        <w:t xml:space="preserve">articulate the benefits of using the Model </w:t>
      </w:r>
      <w:r>
        <w:rPr>
          <w:rFonts w:cs="Times New Roman"/>
        </w:rPr>
        <w:t>Certificate</w:t>
      </w:r>
      <w:r w:rsidR="00436EEF">
        <w:rPr>
          <w:rFonts w:cs="Times New Roman"/>
        </w:rPr>
        <w:t xml:space="preserve"> within a given economy</w:t>
      </w:r>
      <w:r w:rsidR="003E6374" w:rsidRPr="009D51B7">
        <w:rPr>
          <w:rFonts w:cs="Times New Roman"/>
        </w:rPr>
        <w:t xml:space="preserve">, ultimately encouraging </w:t>
      </w:r>
      <w:r>
        <w:rPr>
          <w:rFonts w:cs="Times New Roman"/>
        </w:rPr>
        <w:t>its use</w:t>
      </w:r>
      <w:r w:rsidR="0007464B">
        <w:rPr>
          <w:rFonts w:cs="Times New Roman"/>
        </w:rPr>
        <w:t xml:space="preserve"> where appropriate</w:t>
      </w:r>
      <w:r w:rsidR="003E6374" w:rsidRPr="009D51B7">
        <w:rPr>
          <w:rFonts w:cs="Times New Roman"/>
        </w:rPr>
        <w:t xml:space="preserve">. </w:t>
      </w:r>
      <w:r>
        <w:rPr>
          <w:rFonts w:cs="Times New Roman"/>
        </w:rPr>
        <w:t xml:space="preserve"> </w:t>
      </w:r>
      <w:r w:rsidR="00596E0B" w:rsidRPr="009D51B7">
        <w:rPr>
          <w:rFonts w:cs="Times New Roman"/>
        </w:rPr>
        <w:t xml:space="preserve">The case studies will be shared with the CTI, </w:t>
      </w:r>
      <w:r w:rsidR="00A73707">
        <w:rPr>
          <w:rFonts w:cs="Times New Roman"/>
        </w:rPr>
        <w:t>Sub-Committee on Standards and Conformance (</w:t>
      </w:r>
      <w:r w:rsidR="00596E0B" w:rsidRPr="009D51B7">
        <w:rPr>
          <w:rFonts w:cs="Times New Roman"/>
        </w:rPr>
        <w:t>SCSC</w:t>
      </w:r>
      <w:r w:rsidR="00A73707">
        <w:rPr>
          <w:rFonts w:cs="Times New Roman"/>
        </w:rPr>
        <w:t>)</w:t>
      </w:r>
      <w:r w:rsidR="00436EEF">
        <w:rPr>
          <w:rFonts w:cs="Times New Roman"/>
        </w:rPr>
        <w:t>,</w:t>
      </w:r>
      <w:r w:rsidR="00596E0B" w:rsidRPr="009D51B7">
        <w:rPr>
          <w:rFonts w:cs="Times New Roman"/>
        </w:rPr>
        <w:t xml:space="preserve"> and other relevant APEC Committees</w:t>
      </w:r>
      <w:r w:rsidR="00436EEF">
        <w:rPr>
          <w:rFonts w:cs="Times New Roman"/>
        </w:rPr>
        <w:t xml:space="preserve"> when completed</w:t>
      </w:r>
      <w:r w:rsidR="00596E0B" w:rsidRPr="009D51B7">
        <w:rPr>
          <w:rFonts w:cs="Times New Roman"/>
        </w:rPr>
        <w:t>.</w:t>
      </w:r>
      <w:r w:rsidR="00F67517" w:rsidRPr="009D51B7">
        <w:rPr>
          <w:rFonts w:cs="Times New Roman"/>
        </w:rPr>
        <w:t xml:space="preserve">  </w:t>
      </w:r>
      <w:r w:rsidR="00596E0B" w:rsidRPr="009D51B7">
        <w:rPr>
          <w:rFonts w:cs="Times New Roman"/>
        </w:rPr>
        <w:t xml:space="preserve">Economies are encouraged to self-identify </w:t>
      </w:r>
      <w:r w:rsidR="004F6B76" w:rsidRPr="009D51B7">
        <w:rPr>
          <w:rFonts w:cs="Times New Roman"/>
        </w:rPr>
        <w:t xml:space="preserve">for participation </w:t>
      </w:r>
      <w:r w:rsidR="003E6374" w:rsidRPr="009D51B7">
        <w:rPr>
          <w:rFonts w:cs="Times New Roman"/>
        </w:rPr>
        <w:t>in the business case studies</w:t>
      </w:r>
      <w:r w:rsidR="00971995">
        <w:rPr>
          <w:rFonts w:cs="Times New Roman"/>
        </w:rPr>
        <w:t xml:space="preserve">.  </w:t>
      </w:r>
      <w:r w:rsidR="003E6374" w:rsidRPr="009D51B7">
        <w:rPr>
          <w:rFonts w:cs="Times New Roman"/>
        </w:rPr>
        <w:t xml:space="preserve">The business case reports will be completed by the </w:t>
      </w:r>
      <w:r w:rsidR="00436EEF">
        <w:rPr>
          <w:rFonts w:cs="Times New Roman"/>
        </w:rPr>
        <w:t xml:space="preserve">2017 </w:t>
      </w:r>
      <w:r w:rsidR="003E6374" w:rsidRPr="009D51B7">
        <w:rPr>
          <w:rFonts w:cs="Times New Roman"/>
        </w:rPr>
        <w:t xml:space="preserve">WRF meeting. </w:t>
      </w:r>
      <w:r>
        <w:rPr>
          <w:rFonts w:cs="Times New Roman"/>
        </w:rPr>
        <w:t xml:space="preserve"> </w:t>
      </w:r>
      <w:r w:rsidR="003E6374" w:rsidRPr="009D51B7">
        <w:rPr>
          <w:rFonts w:cs="Times New Roman"/>
        </w:rPr>
        <w:t>US-ATAARI also identified other possible activities the WRF could undertake to encourage domestic implementation of the Model</w:t>
      </w:r>
      <w:r>
        <w:rPr>
          <w:rFonts w:cs="Times New Roman"/>
        </w:rPr>
        <w:t xml:space="preserve"> Certificate</w:t>
      </w:r>
      <w:r w:rsidR="003E6374" w:rsidRPr="009D51B7">
        <w:rPr>
          <w:rFonts w:cs="Times New Roman"/>
        </w:rPr>
        <w:t xml:space="preserve">. </w:t>
      </w:r>
    </w:p>
    <w:p w14:paraId="75188076" w14:textId="03FE8305" w:rsidR="009759E7" w:rsidRPr="009D51B7" w:rsidRDefault="004F6B76" w:rsidP="00517295">
      <w:pPr>
        <w:spacing w:before="100" w:beforeAutospacing="1" w:after="100" w:afterAutospacing="1"/>
      </w:pPr>
      <w:r w:rsidRPr="009D51B7">
        <w:rPr>
          <w:rFonts w:cs="Times New Roman"/>
        </w:rPr>
        <w:lastRenderedPageBreak/>
        <w:t xml:space="preserve">The </w:t>
      </w:r>
      <w:r w:rsidR="000106E0" w:rsidRPr="00012917">
        <w:rPr>
          <w:rFonts w:cs="Times New Roman"/>
          <w:b/>
          <w:color w:val="FF0000"/>
        </w:rPr>
        <w:t xml:space="preserve">Working Group on </w:t>
      </w:r>
      <w:r w:rsidR="009A1668" w:rsidRPr="00012917">
        <w:rPr>
          <w:rFonts w:cs="Times New Roman"/>
          <w:b/>
          <w:color w:val="FF0000"/>
        </w:rPr>
        <w:t>Compendia</w:t>
      </w:r>
      <w:r w:rsidRPr="009D51B7">
        <w:rPr>
          <w:rFonts w:cs="Times New Roman"/>
        </w:rPr>
        <w:t xml:space="preserve"> proposed the creation of a Compendi</w:t>
      </w:r>
      <w:r w:rsidR="0007464B">
        <w:rPr>
          <w:rFonts w:cs="Times New Roman"/>
        </w:rPr>
        <w:t>um</w:t>
      </w:r>
      <w:r w:rsidRPr="009D51B7">
        <w:rPr>
          <w:rFonts w:cs="Times New Roman"/>
        </w:rPr>
        <w:t xml:space="preserve"> on Methods of Analysis</w:t>
      </w:r>
      <w:r w:rsidR="00657D15" w:rsidRPr="009D51B7">
        <w:rPr>
          <w:rFonts w:cs="Times New Roman"/>
        </w:rPr>
        <w:t xml:space="preserve"> used in the regulation of wine within the APEC trade environment.  </w:t>
      </w:r>
      <w:r w:rsidRPr="009D51B7">
        <w:rPr>
          <w:rFonts w:cs="Times New Roman"/>
        </w:rPr>
        <w:t xml:space="preserve">Following on the 2015 Outcomes, the </w:t>
      </w:r>
      <w:hyperlink r:id="rId12" w:history="1">
        <w:r w:rsidR="00436EEF" w:rsidRPr="00436EEF">
          <w:rPr>
            <w:rStyle w:val="Hyperlink"/>
            <w:rFonts w:cs="Times New Roman"/>
          </w:rPr>
          <w:t>International Wine Technical Summit</w:t>
        </w:r>
      </w:hyperlink>
      <w:r w:rsidR="008A40BB" w:rsidRPr="00CF19E1">
        <w:rPr>
          <w:rStyle w:val="FootnoteReference"/>
          <w:rFonts w:cs="Times New Roman"/>
          <w:color w:val="000000" w:themeColor="text1"/>
        </w:rPr>
        <w:footnoteReference w:id="6"/>
      </w:r>
      <w:r w:rsidRPr="009D51B7">
        <w:rPr>
          <w:rFonts w:cs="Times New Roman"/>
        </w:rPr>
        <w:t xml:space="preserve"> </w:t>
      </w:r>
      <w:r w:rsidR="000A3AC0" w:rsidRPr="009D51B7">
        <w:rPr>
          <w:rFonts w:cs="Times New Roman"/>
        </w:rPr>
        <w:t xml:space="preserve">(IWTS) </w:t>
      </w:r>
      <w:r w:rsidRPr="009D51B7">
        <w:rPr>
          <w:rFonts w:cs="Times New Roman"/>
        </w:rPr>
        <w:t xml:space="preserve">produced </w:t>
      </w:r>
      <w:r w:rsidR="00436EEF">
        <w:rPr>
          <w:rFonts w:cs="Times New Roman"/>
        </w:rPr>
        <w:t>a compendium</w:t>
      </w:r>
      <w:r w:rsidR="00436EEF" w:rsidRPr="009D51B7">
        <w:rPr>
          <w:rFonts w:cs="Times New Roman"/>
        </w:rPr>
        <w:t xml:space="preserve"> </w:t>
      </w:r>
      <w:r w:rsidRPr="009D51B7">
        <w:rPr>
          <w:rFonts w:cs="Times New Roman"/>
        </w:rPr>
        <w:t>template</w:t>
      </w:r>
      <w:r w:rsidR="00B455E3" w:rsidRPr="009D51B7">
        <w:rPr>
          <w:rFonts w:cs="Times New Roman"/>
        </w:rPr>
        <w:t xml:space="preserve"> and provided a draft to the WRF Working Group on Compendia.</w:t>
      </w:r>
      <w:r w:rsidRPr="009D51B7">
        <w:rPr>
          <w:rFonts w:cs="Times New Roman"/>
        </w:rPr>
        <w:t xml:space="preserve">  </w:t>
      </w:r>
      <w:r w:rsidR="00657D15" w:rsidRPr="009D51B7">
        <w:rPr>
          <w:color w:val="000000"/>
        </w:rPr>
        <w:t xml:space="preserve">The purpose of the Compendium is to encourage transparency regarding analytical methods and the continued exchange of information among APEC WRF economies.  </w:t>
      </w:r>
      <w:r w:rsidR="00754D70" w:rsidRPr="009D51B7">
        <w:rPr>
          <w:color w:val="000000"/>
        </w:rPr>
        <w:t>An overview of </w:t>
      </w:r>
      <w:hyperlink r:id="rId13" w:tgtFrame="_blank" w:history="1">
        <w:r w:rsidR="00754D70" w:rsidRPr="009D51B7">
          <w:rPr>
            <w:rStyle w:val="Hyperlink"/>
          </w:rPr>
          <w:t>FIVS-Abridge</w:t>
        </w:r>
      </w:hyperlink>
      <w:r w:rsidR="00754D70" w:rsidRPr="009D51B7">
        <w:rPr>
          <w:color w:val="000000"/>
        </w:rPr>
        <w:t> was provided to participants and an illustration of the database was provided using the example of copp</w:t>
      </w:r>
      <w:r w:rsidR="00517295" w:rsidRPr="009D51B7">
        <w:rPr>
          <w:color w:val="000000"/>
        </w:rPr>
        <w:t xml:space="preserve">er levels among APEC economies.  </w:t>
      </w:r>
      <w:r w:rsidR="009759E7" w:rsidRPr="009D51B7">
        <w:t>APEC economy regulators with access to FIVS-Abridge will begin receiving international wine trade regulatory development newsletters every 6-8 weeks.</w:t>
      </w:r>
    </w:p>
    <w:p w14:paraId="54A5A962" w14:textId="77777777" w:rsidR="004F6B76" w:rsidRPr="009D51B7" w:rsidRDefault="004F6B76" w:rsidP="004F6B76">
      <w:pPr>
        <w:rPr>
          <w:rFonts w:cs="Times New Roman"/>
        </w:rPr>
      </w:pPr>
      <w:r w:rsidRPr="009D51B7">
        <w:rPr>
          <w:rFonts w:cs="Times New Roman"/>
        </w:rPr>
        <w:t>The next steps for this Working Group include:</w:t>
      </w:r>
    </w:p>
    <w:p w14:paraId="5D34845D" w14:textId="21A403F5" w:rsidR="00A6155C" w:rsidRPr="009D51B7" w:rsidRDefault="004F6B76" w:rsidP="00A6155C">
      <w:pPr>
        <w:pStyle w:val="ListParagraph"/>
        <w:numPr>
          <w:ilvl w:val="0"/>
          <w:numId w:val="14"/>
        </w:numPr>
        <w:rPr>
          <w:rFonts w:cs="Times New Roman"/>
        </w:rPr>
      </w:pPr>
      <w:r w:rsidRPr="009D51B7">
        <w:rPr>
          <w:rFonts w:cs="Times New Roman"/>
        </w:rPr>
        <w:t xml:space="preserve">The template </w:t>
      </w:r>
      <w:r w:rsidR="008104FD">
        <w:rPr>
          <w:rFonts w:cs="Times New Roman"/>
        </w:rPr>
        <w:t xml:space="preserve">was </w:t>
      </w:r>
      <w:r w:rsidRPr="009D51B7">
        <w:rPr>
          <w:rFonts w:cs="Times New Roman"/>
        </w:rPr>
        <w:t xml:space="preserve">circulated to WRF members </w:t>
      </w:r>
      <w:r w:rsidR="008104FD">
        <w:rPr>
          <w:rFonts w:cs="Times New Roman"/>
        </w:rPr>
        <w:t xml:space="preserve">on November 21, </w:t>
      </w:r>
      <w:r w:rsidR="004B0FB8">
        <w:rPr>
          <w:rFonts w:cs="Times New Roman"/>
        </w:rPr>
        <w:t xml:space="preserve">2016. </w:t>
      </w:r>
      <w:r w:rsidRPr="009D51B7">
        <w:rPr>
          <w:rFonts w:cs="Times New Roman"/>
        </w:rPr>
        <w:t xml:space="preserve"> Members are requested to provide the req</w:t>
      </w:r>
      <w:r w:rsidR="00517295" w:rsidRPr="009D51B7">
        <w:rPr>
          <w:rFonts w:cs="Times New Roman"/>
        </w:rPr>
        <w:t xml:space="preserve">uested information by December </w:t>
      </w:r>
      <w:r w:rsidRPr="009D51B7">
        <w:rPr>
          <w:rFonts w:cs="Times New Roman"/>
        </w:rPr>
        <w:t>1</w:t>
      </w:r>
      <w:r w:rsidR="008104FD">
        <w:rPr>
          <w:rFonts w:cs="Times New Roman"/>
        </w:rPr>
        <w:t>6</w:t>
      </w:r>
      <w:r w:rsidRPr="009D51B7">
        <w:rPr>
          <w:rFonts w:cs="Times New Roman"/>
        </w:rPr>
        <w:t>, 2016.</w:t>
      </w:r>
      <w:r w:rsidR="00B455E3" w:rsidRPr="009D51B7">
        <w:rPr>
          <w:rFonts w:cs="Times New Roman"/>
        </w:rPr>
        <w:t xml:space="preserve"> </w:t>
      </w:r>
    </w:p>
    <w:p w14:paraId="0EB74AD4" w14:textId="5C6B6477" w:rsidR="00A6155C" w:rsidRPr="009D51B7" w:rsidRDefault="00754D70" w:rsidP="00A6155C">
      <w:pPr>
        <w:pStyle w:val="ListParagraph"/>
        <w:numPr>
          <w:ilvl w:val="0"/>
          <w:numId w:val="14"/>
        </w:numPr>
        <w:rPr>
          <w:rFonts w:cs="Times New Roman"/>
        </w:rPr>
      </w:pPr>
      <w:r w:rsidRPr="009D51B7">
        <w:rPr>
          <w:color w:val="000000"/>
        </w:rPr>
        <w:t xml:space="preserve">Consistent with the </w:t>
      </w:r>
      <w:r w:rsidR="004B0FB8">
        <w:rPr>
          <w:color w:val="000000"/>
        </w:rPr>
        <w:t xml:space="preserve">existing </w:t>
      </w:r>
      <w:r w:rsidRPr="009D51B7">
        <w:rPr>
          <w:color w:val="000000"/>
        </w:rPr>
        <w:t>APEC/FIVS-Abridge contract, three regulators from each economy are granted access to the database.  Members are encouraged to work with FIVS-Abridge staff to ensure that the proper regulators have access to the database.</w:t>
      </w:r>
    </w:p>
    <w:p w14:paraId="02758956" w14:textId="77777777" w:rsidR="00A6155C" w:rsidRPr="009D51B7" w:rsidRDefault="00866556" w:rsidP="00A6155C">
      <w:pPr>
        <w:pStyle w:val="ListParagraph"/>
        <w:numPr>
          <w:ilvl w:val="0"/>
          <w:numId w:val="14"/>
        </w:numPr>
        <w:rPr>
          <w:rFonts w:cs="Times New Roman"/>
        </w:rPr>
      </w:pPr>
      <w:r w:rsidRPr="009D51B7">
        <w:rPr>
          <w:rFonts w:cs="Arial"/>
          <w:color w:val="000000"/>
        </w:rPr>
        <w:t>Members are also reminded that they are required to notify any regulatory changes to FIVS-Abridge staff, at a minimum, on a bi-annual basis and are requested to work with FIVS-Abridge staff</w:t>
      </w:r>
      <w:r w:rsidR="00A6155C" w:rsidRPr="009D51B7">
        <w:rPr>
          <w:rFonts w:cs="Arial"/>
          <w:color w:val="000000"/>
        </w:rPr>
        <w:t xml:space="preserve"> to ensure regulatory accuracy. </w:t>
      </w:r>
    </w:p>
    <w:p w14:paraId="03A92E46" w14:textId="0E4ED186" w:rsidR="00A6155C" w:rsidRPr="009D51B7" w:rsidRDefault="00A6155C" w:rsidP="00A6155C">
      <w:pPr>
        <w:pStyle w:val="ListParagraph"/>
        <w:numPr>
          <w:ilvl w:val="0"/>
          <w:numId w:val="14"/>
        </w:numPr>
        <w:rPr>
          <w:rFonts w:cs="Times New Roman"/>
        </w:rPr>
      </w:pPr>
      <w:r w:rsidRPr="009D51B7">
        <w:t xml:space="preserve">Updates for the 2nd round of Regulatory Updates </w:t>
      </w:r>
      <w:r w:rsidR="003149D1">
        <w:t>were</w:t>
      </w:r>
      <w:r w:rsidRPr="009D51B7">
        <w:t xml:space="preserve"> due by October</w:t>
      </w:r>
      <w:r w:rsidR="004B0FB8">
        <w:t xml:space="preserve"> 31,</w:t>
      </w:r>
      <w:r w:rsidRPr="009D51B7">
        <w:t xml:space="preserve"> 2016.</w:t>
      </w:r>
    </w:p>
    <w:p w14:paraId="61ABE895" w14:textId="77777777" w:rsidR="00866556" w:rsidRPr="009D51B7" w:rsidRDefault="00866556" w:rsidP="00866556">
      <w:pPr>
        <w:rPr>
          <w:rFonts w:eastAsia="Times New Roman"/>
        </w:rPr>
      </w:pPr>
    </w:p>
    <w:p w14:paraId="57A2A280" w14:textId="73E23AF3" w:rsidR="00EE5E19" w:rsidRPr="009D51B7" w:rsidRDefault="00314887" w:rsidP="000106E0">
      <w:pPr>
        <w:rPr>
          <w:rFonts w:cs="Times New Roman"/>
          <w:bCs/>
        </w:rPr>
      </w:pPr>
      <w:r w:rsidRPr="009D51B7">
        <w:rPr>
          <w:rFonts w:cs="Times New Roman"/>
          <w:bCs/>
        </w:rPr>
        <w:t xml:space="preserve">The </w:t>
      </w:r>
      <w:r w:rsidR="000F7C9B" w:rsidRPr="00012917">
        <w:rPr>
          <w:rFonts w:cs="Times New Roman"/>
          <w:b/>
          <w:bCs/>
          <w:color w:val="FF0000"/>
        </w:rPr>
        <w:t xml:space="preserve">Working Group on </w:t>
      </w:r>
      <w:r w:rsidRPr="00012917">
        <w:rPr>
          <w:rFonts w:cs="Times New Roman"/>
          <w:b/>
          <w:bCs/>
          <w:color w:val="FF0000"/>
        </w:rPr>
        <w:t>Enhanced Risk Controls</w:t>
      </w:r>
      <w:r w:rsidRPr="009D51B7">
        <w:rPr>
          <w:rFonts w:cs="Times New Roman"/>
          <w:bCs/>
        </w:rPr>
        <w:t xml:space="preserve"> presented the results from its second year of ring test results overseen by the </w:t>
      </w:r>
      <w:hyperlink r:id="rId14" w:history="1">
        <w:r w:rsidR="00423B34" w:rsidRPr="00423B34">
          <w:rPr>
            <w:rStyle w:val="Hyperlink"/>
            <w:rFonts w:cs="Times New Roman"/>
            <w:bCs/>
          </w:rPr>
          <w:t>Interwinery Analysis Group</w:t>
        </w:r>
      </w:hyperlink>
      <w:r w:rsidRPr="009D51B7">
        <w:rPr>
          <w:rFonts w:cs="Times New Roman"/>
          <w:bCs/>
        </w:rPr>
        <w:t>.</w:t>
      </w:r>
      <w:r w:rsidR="00D96B97" w:rsidRPr="009D51B7">
        <w:rPr>
          <w:rFonts w:cs="Times New Roman"/>
          <w:bCs/>
        </w:rPr>
        <w:t xml:space="preserve">  </w:t>
      </w:r>
      <w:r w:rsidR="005718B8" w:rsidRPr="009D51B7">
        <w:rPr>
          <w:rFonts w:cs="Times New Roman"/>
          <w:bCs/>
        </w:rPr>
        <w:t>Participation in the 2016 tests included 20 lab</w:t>
      </w:r>
      <w:r w:rsidR="00081F63">
        <w:rPr>
          <w:rFonts w:cs="Times New Roman"/>
          <w:bCs/>
        </w:rPr>
        <w:t>oratories</w:t>
      </w:r>
      <w:r w:rsidR="005718B8" w:rsidRPr="009D51B7">
        <w:rPr>
          <w:rFonts w:cs="Times New Roman"/>
          <w:bCs/>
        </w:rPr>
        <w:t xml:space="preserve"> from </w:t>
      </w:r>
      <w:r w:rsidR="00803825" w:rsidRPr="009D51B7">
        <w:rPr>
          <w:rFonts w:cs="Times New Roman"/>
          <w:bCs/>
        </w:rPr>
        <w:t xml:space="preserve">12 economies.  </w:t>
      </w:r>
      <w:r w:rsidR="005718B8" w:rsidRPr="009D51B7">
        <w:rPr>
          <w:rFonts w:cs="Times New Roman"/>
          <w:bCs/>
        </w:rPr>
        <w:t xml:space="preserve">Difficulties with </w:t>
      </w:r>
      <w:r w:rsidR="00886542">
        <w:rPr>
          <w:rFonts w:cs="Times New Roman"/>
          <w:bCs/>
        </w:rPr>
        <w:t xml:space="preserve">sample </w:t>
      </w:r>
      <w:r w:rsidR="003D58AD" w:rsidRPr="009D51B7">
        <w:rPr>
          <w:rFonts w:cs="Times New Roman"/>
          <w:bCs/>
        </w:rPr>
        <w:t xml:space="preserve">shipments continued and the Working Group Chair met with economies to resolve specific issues. </w:t>
      </w:r>
      <w:r w:rsidR="00FE5E15" w:rsidRPr="009D51B7">
        <w:rPr>
          <w:rFonts w:cs="Times New Roman"/>
          <w:bCs/>
        </w:rPr>
        <w:t xml:space="preserve">  APEC economy laboratories continued </w:t>
      </w:r>
      <w:r w:rsidR="009536A0" w:rsidRPr="009D51B7">
        <w:rPr>
          <w:rFonts w:cs="Times New Roman"/>
          <w:bCs/>
        </w:rPr>
        <w:t>to show a high variability in testing</w:t>
      </w:r>
      <w:r w:rsidR="000A3AC0" w:rsidRPr="009D51B7">
        <w:rPr>
          <w:rFonts w:cs="Times New Roman"/>
          <w:bCs/>
        </w:rPr>
        <w:t xml:space="preserve"> results that need</w:t>
      </w:r>
      <w:r w:rsidR="0007464B">
        <w:rPr>
          <w:rFonts w:cs="Times New Roman"/>
          <w:bCs/>
        </w:rPr>
        <w:t>s</w:t>
      </w:r>
      <w:r w:rsidR="000A3AC0" w:rsidRPr="009D51B7">
        <w:rPr>
          <w:rFonts w:cs="Times New Roman"/>
          <w:bCs/>
        </w:rPr>
        <w:t xml:space="preserve"> to be addressed. </w:t>
      </w:r>
    </w:p>
    <w:p w14:paraId="7C379CF5" w14:textId="77777777" w:rsidR="00517295" w:rsidRPr="009D51B7" w:rsidRDefault="00517295" w:rsidP="000106E0">
      <w:pPr>
        <w:rPr>
          <w:rFonts w:cs="Times New Roman"/>
          <w:bCs/>
        </w:rPr>
      </w:pPr>
    </w:p>
    <w:p w14:paraId="27A395F3" w14:textId="47833ADF" w:rsidR="00612C22" w:rsidRPr="009D51B7" w:rsidRDefault="00517295" w:rsidP="00612C22">
      <w:pPr>
        <w:rPr>
          <w:color w:val="000000"/>
        </w:rPr>
      </w:pPr>
      <w:r w:rsidRPr="009D51B7">
        <w:rPr>
          <w:rFonts w:cs="Times New Roman"/>
          <w:bCs/>
        </w:rPr>
        <w:t xml:space="preserve">The Working Group held a successful </w:t>
      </w:r>
      <w:r w:rsidR="00612C22" w:rsidRPr="009D51B7">
        <w:rPr>
          <w:rFonts w:cs="Times New Roman"/>
          <w:bCs/>
        </w:rPr>
        <w:t>training workshop for APEC WRF laboratory managers on the margins of the IWTS meeting in San Luis Obispo, C</w:t>
      </w:r>
      <w:r w:rsidR="00EE3A34">
        <w:rPr>
          <w:rFonts w:cs="Times New Roman"/>
          <w:bCs/>
        </w:rPr>
        <w:t>alifornia</w:t>
      </w:r>
      <w:r w:rsidR="00612C22" w:rsidRPr="009D51B7">
        <w:rPr>
          <w:rFonts w:cs="Times New Roman"/>
          <w:bCs/>
        </w:rPr>
        <w:t xml:space="preserve"> on May 23, 2016.  The </w:t>
      </w:r>
      <w:r w:rsidR="004B0FB8">
        <w:rPr>
          <w:rFonts w:cs="Times New Roman"/>
          <w:bCs/>
        </w:rPr>
        <w:t>w</w:t>
      </w:r>
      <w:r w:rsidR="00612C22" w:rsidRPr="009D51B7">
        <w:rPr>
          <w:rFonts w:cs="Times New Roman"/>
          <w:bCs/>
        </w:rPr>
        <w:t xml:space="preserve">orkshop covered </w:t>
      </w:r>
      <w:r w:rsidR="00612C22" w:rsidRPr="009D51B7">
        <w:rPr>
          <w:color w:val="000000"/>
        </w:rPr>
        <w:t xml:space="preserve">issues related to quality and methods in laboratories and reviewed the underlying chemistries, methodologies, and best practice for the analysis of a number of core parameters used for the assessment of wine: </w:t>
      </w:r>
      <w:r w:rsidR="00612C22" w:rsidRPr="009D51B7">
        <w:rPr>
          <w:i/>
          <w:iCs/>
          <w:color w:val="000000"/>
        </w:rPr>
        <w:t xml:space="preserve">sugar, titratable acidity, alcohol </w:t>
      </w:r>
      <w:r w:rsidR="00612C22" w:rsidRPr="009D51B7">
        <w:rPr>
          <w:color w:val="000000"/>
        </w:rPr>
        <w:t>and</w:t>
      </w:r>
      <w:r w:rsidR="00612C22" w:rsidRPr="009D51B7">
        <w:rPr>
          <w:i/>
          <w:iCs/>
          <w:color w:val="000000"/>
        </w:rPr>
        <w:t xml:space="preserve"> total sulfur dioxide</w:t>
      </w:r>
      <w:r w:rsidR="00612C22" w:rsidRPr="009D51B7">
        <w:rPr>
          <w:color w:val="000000"/>
        </w:rPr>
        <w:t>.  Key workshop documents are available on the WRF website and economies are encouraged to share the papers with lab</w:t>
      </w:r>
      <w:r w:rsidR="004B0FB8">
        <w:rPr>
          <w:color w:val="000000"/>
        </w:rPr>
        <w:t>oratorie</w:t>
      </w:r>
      <w:r w:rsidR="00612C22" w:rsidRPr="009D51B7">
        <w:rPr>
          <w:color w:val="000000"/>
        </w:rPr>
        <w:t xml:space="preserve">s in their economies. </w:t>
      </w:r>
    </w:p>
    <w:p w14:paraId="777141B2" w14:textId="77777777" w:rsidR="00314887" w:rsidRPr="009D51B7" w:rsidRDefault="00314887" w:rsidP="000106E0">
      <w:pPr>
        <w:rPr>
          <w:rFonts w:cs="Times New Roman"/>
          <w:bCs/>
        </w:rPr>
      </w:pPr>
    </w:p>
    <w:p w14:paraId="4EF25029" w14:textId="77777777" w:rsidR="00314887" w:rsidRPr="009D51B7" w:rsidRDefault="00314887" w:rsidP="000106E0">
      <w:pPr>
        <w:rPr>
          <w:rFonts w:cs="Times New Roman"/>
          <w:bCs/>
        </w:rPr>
      </w:pPr>
      <w:r w:rsidRPr="009D51B7">
        <w:rPr>
          <w:rFonts w:cs="Times New Roman"/>
          <w:bCs/>
        </w:rPr>
        <w:t>The next steps for this Working Group include:</w:t>
      </w:r>
    </w:p>
    <w:p w14:paraId="30F1252B" w14:textId="48FC6C72" w:rsidR="00314887" w:rsidRPr="009D51B7" w:rsidRDefault="00314887" w:rsidP="00314887">
      <w:pPr>
        <w:pStyle w:val="ListParagraph"/>
        <w:numPr>
          <w:ilvl w:val="0"/>
          <w:numId w:val="15"/>
        </w:numPr>
        <w:rPr>
          <w:rFonts w:cs="Times New Roman"/>
          <w:bCs/>
        </w:rPr>
      </w:pPr>
      <w:r w:rsidRPr="009D51B7">
        <w:rPr>
          <w:rFonts w:cs="Times New Roman"/>
          <w:bCs/>
        </w:rPr>
        <w:t xml:space="preserve">Consideration of future rounds </w:t>
      </w:r>
      <w:r w:rsidR="00225DF0" w:rsidRPr="009D51B7">
        <w:rPr>
          <w:rFonts w:cs="Times New Roman"/>
          <w:bCs/>
        </w:rPr>
        <w:t>of</w:t>
      </w:r>
      <w:r w:rsidR="0007464B">
        <w:rPr>
          <w:rFonts w:cs="Times New Roman"/>
          <w:bCs/>
        </w:rPr>
        <w:t xml:space="preserve"> the</w:t>
      </w:r>
      <w:r w:rsidR="00225DF0" w:rsidRPr="009D51B7">
        <w:rPr>
          <w:rFonts w:cs="Times New Roman"/>
          <w:bCs/>
        </w:rPr>
        <w:t xml:space="preserve"> ring test</w:t>
      </w:r>
      <w:r w:rsidR="009536A0" w:rsidRPr="009D51B7">
        <w:rPr>
          <w:rFonts w:cs="Times New Roman"/>
          <w:bCs/>
        </w:rPr>
        <w:t>, including the extension of testing to a range of</w:t>
      </w:r>
      <w:r w:rsidRPr="009D51B7">
        <w:rPr>
          <w:rFonts w:cs="Times New Roman"/>
          <w:bCs/>
        </w:rPr>
        <w:t xml:space="preserve"> heavy metals.</w:t>
      </w:r>
    </w:p>
    <w:p w14:paraId="5557BA33" w14:textId="3543237E" w:rsidR="009536A0" w:rsidRPr="009D51B7" w:rsidRDefault="009536A0" w:rsidP="00314887">
      <w:pPr>
        <w:pStyle w:val="ListParagraph"/>
        <w:numPr>
          <w:ilvl w:val="0"/>
          <w:numId w:val="15"/>
        </w:numPr>
        <w:rPr>
          <w:rFonts w:cs="Times New Roman"/>
          <w:bCs/>
        </w:rPr>
      </w:pPr>
      <w:r w:rsidRPr="009D51B7">
        <w:rPr>
          <w:rFonts w:cs="Times New Roman"/>
          <w:bCs/>
        </w:rPr>
        <w:t>Consideration of another workshop to extend the training and outcomes from the 2016 workshop.</w:t>
      </w:r>
    </w:p>
    <w:p w14:paraId="49BD7F0A" w14:textId="628B5416" w:rsidR="009536A0" w:rsidRPr="009D51B7" w:rsidRDefault="009536A0" w:rsidP="00314887">
      <w:pPr>
        <w:pStyle w:val="ListParagraph"/>
        <w:numPr>
          <w:ilvl w:val="0"/>
          <w:numId w:val="15"/>
        </w:numPr>
        <w:rPr>
          <w:rFonts w:cs="Times New Roman"/>
          <w:bCs/>
        </w:rPr>
      </w:pPr>
      <w:r w:rsidRPr="009D51B7">
        <w:rPr>
          <w:rFonts w:cs="Times New Roman"/>
          <w:bCs/>
        </w:rPr>
        <w:lastRenderedPageBreak/>
        <w:t>A series of virtual meeting</w:t>
      </w:r>
      <w:r w:rsidR="00A3398D">
        <w:rPr>
          <w:rFonts w:cs="Times New Roman"/>
          <w:bCs/>
        </w:rPr>
        <w:t>s</w:t>
      </w:r>
      <w:r w:rsidRPr="009D51B7">
        <w:rPr>
          <w:rFonts w:cs="Times New Roman"/>
          <w:bCs/>
        </w:rPr>
        <w:t xml:space="preserve"> by </w:t>
      </w:r>
      <w:r w:rsidR="00423B34">
        <w:rPr>
          <w:rFonts w:cs="Times New Roman"/>
          <w:bCs/>
        </w:rPr>
        <w:t>r</w:t>
      </w:r>
      <w:r w:rsidRPr="009D51B7">
        <w:rPr>
          <w:rFonts w:cs="Times New Roman"/>
          <w:bCs/>
        </w:rPr>
        <w:t xml:space="preserve">ing </w:t>
      </w:r>
      <w:r w:rsidR="00423B34">
        <w:rPr>
          <w:rFonts w:cs="Times New Roman"/>
          <w:bCs/>
        </w:rPr>
        <w:t>t</w:t>
      </w:r>
      <w:r w:rsidRPr="009D51B7">
        <w:rPr>
          <w:rFonts w:cs="Times New Roman"/>
          <w:bCs/>
        </w:rPr>
        <w:t>est participants to discuss group results, best analytical practice</w:t>
      </w:r>
      <w:r w:rsidR="00423B34">
        <w:rPr>
          <w:rFonts w:cs="Times New Roman"/>
          <w:bCs/>
        </w:rPr>
        <w:t>,</w:t>
      </w:r>
      <w:r w:rsidRPr="009D51B7">
        <w:rPr>
          <w:rFonts w:cs="Times New Roman"/>
          <w:bCs/>
        </w:rPr>
        <w:t xml:space="preserve"> and strategies to improve performance going forward.</w:t>
      </w:r>
    </w:p>
    <w:p w14:paraId="46586F6F" w14:textId="16D9281C" w:rsidR="009A1668" w:rsidRPr="009D51B7" w:rsidRDefault="00225DF0" w:rsidP="00314887">
      <w:pPr>
        <w:pStyle w:val="ListParagraph"/>
        <w:numPr>
          <w:ilvl w:val="0"/>
          <w:numId w:val="15"/>
        </w:numPr>
        <w:rPr>
          <w:rFonts w:cs="Times New Roman"/>
          <w:bCs/>
        </w:rPr>
      </w:pPr>
      <w:r w:rsidRPr="009D51B7">
        <w:rPr>
          <w:rFonts w:cs="Times New Roman"/>
          <w:bCs/>
        </w:rPr>
        <w:t xml:space="preserve">A consolidated report will go to the </w:t>
      </w:r>
      <w:r w:rsidR="009536A0" w:rsidRPr="009D51B7">
        <w:rPr>
          <w:rFonts w:cs="Times New Roman"/>
          <w:bCs/>
        </w:rPr>
        <w:t>participants</w:t>
      </w:r>
      <w:r w:rsidR="002A073C" w:rsidRPr="009D51B7">
        <w:rPr>
          <w:rFonts w:cs="Times New Roman"/>
          <w:bCs/>
        </w:rPr>
        <w:t xml:space="preserve"> of the </w:t>
      </w:r>
      <w:r w:rsidR="00423B34">
        <w:rPr>
          <w:rFonts w:cs="Times New Roman"/>
          <w:bCs/>
        </w:rPr>
        <w:t>r</w:t>
      </w:r>
      <w:r w:rsidR="002A073C" w:rsidRPr="009D51B7">
        <w:rPr>
          <w:rFonts w:cs="Times New Roman"/>
          <w:bCs/>
        </w:rPr>
        <w:t xml:space="preserve">ing </w:t>
      </w:r>
      <w:r w:rsidR="00423B34">
        <w:rPr>
          <w:rFonts w:cs="Times New Roman"/>
          <w:bCs/>
        </w:rPr>
        <w:t>t</w:t>
      </w:r>
      <w:r w:rsidR="00A3398D">
        <w:rPr>
          <w:rFonts w:cs="Times New Roman"/>
          <w:bCs/>
        </w:rPr>
        <w:t xml:space="preserve">ests and program supervisors </w:t>
      </w:r>
      <w:r w:rsidR="0007464B">
        <w:rPr>
          <w:rFonts w:cs="Times New Roman"/>
          <w:bCs/>
        </w:rPr>
        <w:t xml:space="preserve">that </w:t>
      </w:r>
      <w:r w:rsidR="00A3398D">
        <w:rPr>
          <w:rFonts w:cs="Times New Roman"/>
          <w:bCs/>
        </w:rPr>
        <w:t xml:space="preserve">will offer direct assistance to participants who had specific issues with analysis. </w:t>
      </w:r>
    </w:p>
    <w:p w14:paraId="584462EB" w14:textId="0593623A" w:rsidR="002A073C" w:rsidRPr="009D51B7" w:rsidRDefault="002A073C" w:rsidP="00314887">
      <w:pPr>
        <w:pStyle w:val="ListParagraph"/>
        <w:numPr>
          <w:ilvl w:val="0"/>
          <w:numId w:val="15"/>
        </w:numPr>
        <w:rPr>
          <w:rFonts w:cs="Times New Roman"/>
          <w:bCs/>
        </w:rPr>
      </w:pPr>
      <w:r w:rsidRPr="009D51B7">
        <w:rPr>
          <w:rFonts w:cs="Times New Roman"/>
          <w:bCs/>
        </w:rPr>
        <w:t>Consideration of a technical paper on heavy metals</w:t>
      </w:r>
      <w:r w:rsidR="009536A0" w:rsidRPr="009D51B7">
        <w:rPr>
          <w:rFonts w:cs="Times New Roman"/>
          <w:bCs/>
        </w:rPr>
        <w:t xml:space="preserve"> and practical limits of measurement</w:t>
      </w:r>
      <w:r w:rsidRPr="009D51B7">
        <w:rPr>
          <w:rFonts w:cs="Times New Roman"/>
          <w:bCs/>
        </w:rPr>
        <w:t>.</w:t>
      </w:r>
    </w:p>
    <w:p w14:paraId="0012F698" w14:textId="124789D2" w:rsidR="000A0034" w:rsidRPr="009D51B7" w:rsidRDefault="00225DF0" w:rsidP="00517295">
      <w:pPr>
        <w:pStyle w:val="ListParagraph"/>
        <w:numPr>
          <w:ilvl w:val="0"/>
          <w:numId w:val="15"/>
        </w:numPr>
        <w:rPr>
          <w:rFonts w:cs="Times New Roman"/>
          <w:bCs/>
        </w:rPr>
      </w:pPr>
      <w:r w:rsidRPr="009D51B7">
        <w:rPr>
          <w:rFonts w:cs="Times New Roman"/>
          <w:bCs/>
        </w:rPr>
        <w:t xml:space="preserve">Nominations for participation in the 2017 </w:t>
      </w:r>
      <w:r w:rsidR="00423B34">
        <w:rPr>
          <w:rFonts w:cs="Times New Roman"/>
          <w:bCs/>
        </w:rPr>
        <w:t>r</w:t>
      </w:r>
      <w:r w:rsidRPr="009D51B7">
        <w:rPr>
          <w:rFonts w:cs="Times New Roman"/>
          <w:bCs/>
        </w:rPr>
        <w:t xml:space="preserve">ing </w:t>
      </w:r>
      <w:r w:rsidR="00423B34">
        <w:rPr>
          <w:rFonts w:cs="Times New Roman"/>
          <w:bCs/>
        </w:rPr>
        <w:t>t</w:t>
      </w:r>
      <w:r w:rsidRPr="009D51B7">
        <w:rPr>
          <w:rFonts w:cs="Times New Roman"/>
          <w:bCs/>
        </w:rPr>
        <w:t xml:space="preserve">est should be sent to the Project Overseer by December </w:t>
      </w:r>
      <w:r w:rsidR="008430F3">
        <w:rPr>
          <w:rFonts w:cs="Times New Roman"/>
          <w:bCs/>
        </w:rPr>
        <w:t>2</w:t>
      </w:r>
      <w:r w:rsidRPr="009D51B7">
        <w:rPr>
          <w:rFonts w:cs="Times New Roman"/>
          <w:bCs/>
        </w:rPr>
        <w:t>, 2016.</w:t>
      </w:r>
      <w:r w:rsidR="008430F3">
        <w:rPr>
          <w:rFonts w:cs="Times New Roman"/>
          <w:bCs/>
        </w:rPr>
        <w:t xml:space="preserve">  </w:t>
      </w:r>
      <w:r w:rsidR="008430F3">
        <w:rPr>
          <w:rFonts w:cs="Times New Roman"/>
          <w:bCs/>
        </w:rPr>
        <w:t>This applies to new laboratories only.  Laboratories which participated in the 2016 Ring Test are automatically enrolled unless they request to be removed from the program.</w:t>
      </w:r>
    </w:p>
    <w:p w14:paraId="195CD10C" w14:textId="77777777" w:rsidR="009D51B7" w:rsidRDefault="009D51B7" w:rsidP="003B170D">
      <w:pPr>
        <w:rPr>
          <w:rFonts w:cs="Times New Roman"/>
        </w:rPr>
      </w:pPr>
    </w:p>
    <w:p w14:paraId="0EF08A74" w14:textId="24541B3B" w:rsidR="008C7CAC" w:rsidRPr="00012917" w:rsidRDefault="003B170D" w:rsidP="003B170D">
      <w:pPr>
        <w:rPr>
          <w:rFonts w:cs="Times New Roman"/>
        </w:rPr>
      </w:pPr>
      <w:r w:rsidRPr="009D51B7">
        <w:rPr>
          <w:rFonts w:cs="Times New Roman"/>
        </w:rPr>
        <w:t xml:space="preserve">The </w:t>
      </w:r>
      <w:r w:rsidRPr="00012917">
        <w:rPr>
          <w:rFonts w:cs="Times New Roman"/>
          <w:b/>
          <w:bCs/>
          <w:color w:val="FF0000"/>
        </w:rPr>
        <w:t>Working Group on Pesticide MRLs</w:t>
      </w:r>
      <w:r w:rsidRPr="009D51B7">
        <w:rPr>
          <w:rFonts w:cs="Times New Roman"/>
          <w:b/>
          <w:bCs/>
        </w:rPr>
        <w:t xml:space="preserve"> </w:t>
      </w:r>
      <w:r w:rsidRPr="00012917">
        <w:rPr>
          <w:rFonts w:cs="Times New Roman"/>
        </w:rPr>
        <w:t xml:space="preserve">outlined its next steps in conjunction with the </w:t>
      </w:r>
      <w:r w:rsidR="00EE3A34">
        <w:rPr>
          <w:rFonts w:cs="Times New Roman"/>
        </w:rPr>
        <w:t>APEC Food Safety Cooperation Forum (</w:t>
      </w:r>
      <w:r w:rsidRPr="00012917">
        <w:rPr>
          <w:rFonts w:cs="Times New Roman"/>
        </w:rPr>
        <w:t>FSCF</w:t>
      </w:r>
      <w:r w:rsidR="00EE3A34">
        <w:rPr>
          <w:rFonts w:cs="Times New Roman"/>
        </w:rPr>
        <w:t>)</w:t>
      </w:r>
      <w:r w:rsidRPr="00012917">
        <w:rPr>
          <w:rFonts w:cs="Times New Roman"/>
        </w:rPr>
        <w:t xml:space="preserve"> and on the program designed to reduce trade barriers arising from differing maximum residue limits </w:t>
      </w:r>
      <w:r w:rsidR="0007464B">
        <w:rPr>
          <w:rFonts w:cs="Times New Roman"/>
        </w:rPr>
        <w:t xml:space="preserve">(MRLs) </w:t>
      </w:r>
      <w:r w:rsidRPr="00012917">
        <w:rPr>
          <w:rFonts w:cs="Times New Roman"/>
        </w:rPr>
        <w:t xml:space="preserve">across the APEC region. </w:t>
      </w:r>
      <w:r w:rsidR="0093699B" w:rsidRPr="00012917">
        <w:rPr>
          <w:rFonts w:cs="Times New Roman"/>
        </w:rPr>
        <w:t xml:space="preserve"> </w:t>
      </w:r>
      <w:r w:rsidR="00252596" w:rsidRPr="00012917">
        <w:rPr>
          <w:rFonts w:cs="Times New Roman"/>
        </w:rPr>
        <w:t xml:space="preserve">The results of the </w:t>
      </w:r>
      <w:r w:rsidR="008C7CAC" w:rsidRPr="00012917">
        <w:rPr>
          <w:rFonts w:cs="Times New Roman"/>
        </w:rPr>
        <w:t xml:space="preserve">WRF </w:t>
      </w:r>
      <w:r w:rsidR="0007464B">
        <w:rPr>
          <w:rFonts w:cs="Times New Roman"/>
        </w:rPr>
        <w:t>MRL</w:t>
      </w:r>
      <w:r w:rsidR="003B1010" w:rsidRPr="00012917">
        <w:rPr>
          <w:rFonts w:cs="Times New Roman"/>
        </w:rPr>
        <w:t xml:space="preserve"> Guideline “Road Test” </w:t>
      </w:r>
      <w:r w:rsidR="008C7CAC" w:rsidRPr="00012917">
        <w:rPr>
          <w:rFonts w:cs="Times New Roman"/>
        </w:rPr>
        <w:t xml:space="preserve">Questionnaire </w:t>
      </w:r>
      <w:r w:rsidR="003B1010" w:rsidRPr="00012917">
        <w:rPr>
          <w:rFonts w:cs="Times New Roman"/>
        </w:rPr>
        <w:t>highlights the importance of consulting with importing economy agencies to confirm the data needed to support an Import MRL request, and that early involvement of pesticide manufacture</w:t>
      </w:r>
      <w:r w:rsidR="00423B34">
        <w:rPr>
          <w:rFonts w:cs="Times New Roman"/>
        </w:rPr>
        <w:t>r</w:t>
      </w:r>
      <w:r w:rsidR="003B1010" w:rsidRPr="00012917">
        <w:rPr>
          <w:rFonts w:cs="Times New Roman"/>
        </w:rPr>
        <w:t>s is essential.</w:t>
      </w:r>
    </w:p>
    <w:p w14:paraId="326D22B6" w14:textId="77777777" w:rsidR="003B170D" w:rsidRPr="00012917" w:rsidRDefault="003B170D" w:rsidP="000106E0">
      <w:pPr>
        <w:rPr>
          <w:rFonts w:cs="Times New Roman"/>
          <w:bCs/>
        </w:rPr>
      </w:pPr>
    </w:p>
    <w:p w14:paraId="55A8AC2C" w14:textId="0BC6280B" w:rsidR="00C24F2D" w:rsidRPr="00012917" w:rsidRDefault="00A23DA0" w:rsidP="00A23DA0">
      <w:pPr>
        <w:rPr>
          <w:rFonts w:cs="Times New Roman"/>
          <w:bCs/>
        </w:rPr>
      </w:pPr>
      <w:r w:rsidRPr="00012917">
        <w:rPr>
          <w:rFonts w:cs="Times New Roman"/>
          <w:bCs/>
        </w:rPr>
        <w:t xml:space="preserve">The next steps for this Working Group </w:t>
      </w:r>
      <w:r w:rsidR="00866556" w:rsidRPr="00012917">
        <w:rPr>
          <w:rFonts w:cs="Times New Roman"/>
          <w:bCs/>
        </w:rPr>
        <w:t>include:</w:t>
      </w:r>
    </w:p>
    <w:p w14:paraId="07775AB3" w14:textId="3E050B4B" w:rsidR="00EE6185" w:rsidRPr="00012917" w:rsidRDefault="008C7CAC" w:rsidP="00EE6185">
      <w:pPr>
        <w:pStyle w:val="ListParagraph"/>
        <w:numPr>
          <w:ilvl w:val="0"/>
          <w:numId w:val="18"/>
        </w:numPr>
        <w:rPr>
          <w:rFonts w:cs="Times New Roman"/>
          <w:bCs/>
        </w:rPr>
      </w:pPr>
      <w:r w:rsidRPr="00012917">
        <w:rPr>
          <w:rFonts w:cs="Times New Roman"/>
          <w:bCs/>
        </w:rPr>
        <w:t xml:space="preserve">Report out to the FSCF at </w:t>
      </w:r>
      <w:r w:rsidR="00EE3A34">
        <w:rPr>
          <w:rFonts w:cs="Times New Roman"/>
          <w:bCs/>
        </w:rPr>
        <w:t xml:space="preserve">the 2017 </w:t>
      </w:r>
      <w:r w:rsidRPr="00012917">
        <w:rPr>
          <w:rFonts w:cs="Times New Roman"/>
          <w:bCs/>
        </w:rPr>
        <w:t>SOM2 in Viet Nam.</w:t>
      </w:r>
    </w:p>
    <w:p w14:paraId="59FB087F" w14:textId="615C7832" w:rsidR="00D955AB" w:rsidRPr="00012917" w:rsidRDefault="00024401" w:rsidP="00EE6185">
      <w:pPr>
        <w:pStyle w:val="ListParagraph"/>
        <w:numPr>
          <w:ilvl w:val="0"/>
          <w:numId w:val="18"/>
        </w:numPr>
        <w:rPr>
          <w:rFonts w:cs="Times New Roman"/>
          <w:bCs/>
        </w:rPr>
      </w:pPr>
      <w:r w:rsidRPr="00012917">
        <w:rPr>
          <w:rFonts w:cs="Times New Roman"/>
        </w:rPr>
        <w:t>Test the application of the Guideline by selecting several priority compounds for which member economies will be asked to consider whether they could establish MRLs based on the Guideline criteria.</w:t>
      </w:r>
    </w:p>
    <w:p w14:paraId="7E9F0C48" w14:textId="7B14402B" w:rsidR="003B170D" w:rsidRPr="00573FCF" w:rsidRDefault="00024401" w:rsidP="00573FCF">
      <w:pPr>
        <w:pStyle w:val="ListParagraph"/>
        <w:numPr>
          <w:ilvl w:val="0"/>
          <w:numId w:val="18"/>
        </w:numPr>
        <w:rPr>
          <w:rFonts w:cs="Times New Roman"/>
          <w:bCs/>
        </w:rPr>
      </w:pPr>
      <w:r w:rsidRPr="00012917">
        <w:rPr>
          <w:rFonts w:cs="Times New Roman"/>
        </w:rPr>
        <w:t xml:space="preserve">Consider how to improve the MRL Compendium. </w:t>
      </w:r>
    </w:p>
    <w:p w14:paraId="50B89DC3" w14:textId="77777777" w:rsidR="00866556" w:rsidRPr="009D51B7" w:rsidRDefault="00866556" w:rsidP="00A23DA0">
      <w:pPr>
        <w:rPr>
          <w:rFonts w:cs="Times New Roman"/>
          <w:color w:val="7030A0"/>
        </w:rPr>
      </w:pPr>
    </w:p>
    <w:p w14:paraId="0AC23FA8" w14:textId="045D9054" w:rsidR="00965FEB" w:rsidRPr="009D51B7" w:rsidRDefault="00547AE9" w:rsidP="00965FEB">
      <w:pPr>
        <w:rPr>
          <w:rFonts w:cs="Times New Roman"/>
        </w:rPr>
      </w:pPr>
      <w:r w:rsidRPr="009D51B7">
        <w:rPr>
          <w:rFonts w:cs="Times New Roman"/>
          <w:bCs/>
        </w:rPr>
        <w:t xml:space="preserve">The </w:t>
      </w:r>
      <w:r w:rsidRPr="001E2390">
        <w:rPr>
          <w:rFonts w:cs="Times New Roman"/>
          <w:b/>
          <w:bCs/>
          <w:color w:val="FF0000"/>
        </w:rPr>
        <w:t>Good Regulatory Practices Working Group</w:t>
      </w:r>
      <w:r w:rsidRPr="009D51B7">
        <w:rPr>
          <w:rFonts w:cs="Times New Roman"/>
          <w:bCs/>
        </w:rPr>
        <w:t xml:space="preserve"> </w:t>
      </w:r>
      <w:r w:rsidR="00405E46" w:rsidRPr="009D51B7">
        <w:rPr>
          <w:rFonts w:cs="Times New Roman"/>
          <w:bCs/>
        </w:rPr>
        <w:t>was formed to identify and promote examples of good regulatory practices in wine regulation in the APEC region in order to avoid unnecessary</w:t>
      </w:r>
      <w:r w:rsidR="0093699B" w:rsidRPr="009D51B7">
        <w:rPr>
          <w:rFonts w:cs="Times New Roman"/>
          <w:bCs/>
        </w:rPr>
        <w:t xml:space="preserve"> impediments to trade.  A</w:t>
      </w:r>
      <w:r w:rsidR="009D51B7">
        <w:rPr>
          <w:rFonts w:cs="Times New Roman"/>
          <w:bCs/>
        </w:rPr>
        <w:t>n initial</w:t>
      </w:r>
      <w:r w:rsidR="0093699B" w:rsidRPr="009D51B7">
        <w:rPr>
          <w:rFonts w:cs="Times New Roman"/>
          <w:bCs/>
        </w:rPr>
        <w:t xml:space="preserve"> draft of the </w:t>
      </w:r>
      <w:r w:rsidRPr="009D51B7">
        <w:rPr>
          <w:rFonts w:cs="Times New Roman"/>
          <w:bCs/>
        </w:rPr>
        <w:t xml:space="preserve">document previously referred to as the Model Wine Standard, now referred to as the </w:t>
      </w:r>
      <w:r w:rsidR="0093699B" w:rsidRPr="009D51B7">
        <w:rPr>
          <w:rFonts w:cs="Times New Roman"/>
          <w:bCs/>
        </w:rPr>
        <w:t>“</w:t>
      </w:r>
      <w:r w:rsidRPr="009D51B7">
        <w:rPr>
          <w:rFonts w:cs="Times New Roman"/>
          <w:bCs/>
          <w:i/>
        </w:rPr>
        <w:t xml:space="preserve">Guide to </w:t>
      </w:r>
      <w:r w:rsidR="0093699B" w:rsidRPr="009D51B7">
        <w:rPr>
          <w:rFonts w:cs="Times New Roman"/>
          <w:bCs/>
          <w:i/>
        </w:rPr>
        <w:t>Development</w:t>
      </w:r>
      <w:r w:rsidRPr="009D51B7">
        <w:rPr>
          <w:rFonts w:cs="Times New Roman"/>
          <w:bCs/>
          <w:i/>
        </w:rPr>
        <w:t xml:space="preserve"> of Wine Stan</w:t>
      </w:r>
      <w:r w:rsidR="0093699B" w:rsidRPr="009D51B7">
        <w:rPr>
          <w:rFonts w:cs="Times New Roman"/>
          <w:bCs/>
          <w:i/>
        </w:rPr>
        <w:t>dards that align with widely accepted International Regulatory Practice”</w:t>
      </w:r>
      <w:r w:rsidR="0093699B" w:rsidRPr="009D51B7">
        <w:rPr>
          <w:rFonts w:cs="Times New Roman"/>
          <w:bCs/>
        </w:rPr>
        <w:t xml:space="preserve"> was discussed in detail.  </w:t>
      </w:r>
      <w:r w:rsidR="00965FEB" w:rsidRPr="009D51B7">
        <w:rPr>
          <w:rFonts w:cs="Times New Roman"/>
        </w:rPr>
        <w:t xml:space="preserve">The Guide seeks to be a reference source </w:t>
      </w:r>
      <w:r w:rsidR="0093699B" w:rsidRPr="009D51B7">
        <w:rPr>
          <w:rFonts w:cs="Times New Roman"/>
        </w:rPr>
        <w:t xml:space="preserve">for economies </w:t>
      </w:r>
      <w:r w:rsidR="00965FEB" w:rsidRPr="009D51B7">
        <w:rPr>
          <w:rFonts w:cs="Times New Roman"/>
        </w:rPr>
        <w:t xml:space="preserve">to consult when creating or reviewing wine standards.  It is not intended to be adopted as a standard.  </w:t>
      </w:r>
    </w:p>
    <w:p w14:paraId="64A0E01A" w14:textId="77777777" w:rsidR="00965FEB" w:rsidRPr="009D51B7" w:rsidRDefault="00965FEB" w:rsidP="00C24F2D">
      <w:pPr>
        <w:rPr>
          <w:rFonts w:cs="Times New Roman"/>
          <w:bCs/>
        </w:rPr>
      </w:pPr>
    </w:p>
    <w:p w14:paraId="35329010" w14:textId="628F0320" w:rsidR="00965FEB" w:rsidRPr="009D51B7" w:rsidRDefault="0093699B" w:rsidP="00C24F2D">
      <w:pPr>
        <w:rPr>
          <w:rFonts w:cs="Times New Roman"/>
          <w:bCs/>
        </w:rPr>
      </w:pPr>
      <w:r w:rsidRPr="009D51B7">
        <w:rPr>
          <w:rFonts w:cs="Times New Roman"/>
          <w:bCs/>
        </w:rPr>
        <w:t xml:space="preserve">The next steps for this Working Group include: </w:t>
      </w:r>
    </w:p>
    <w:p w14:paraId="6FCD731A" w14:textId="2FB50760" w:rsidR="00965FEB" w:rsidRPr="009D51B7" w:rsidRDefault="00965FEB" w:rsidP="00965FEB">
      <w:pPr>
        <w:pStyle w:val="ListParagraph"/>
        <w:numPr>
          <w:ilvl w:val="0"/>
          <w:numId w:val="20"/>
        </w:numPr>
        <w:rPr>
          <w:rFonts w:cs="Times New Roman"/>
          <w:bCs/>
        </w:rPr>
      </w:pPr>
      <w:r w:rsidRPr="009D51B7">
        <w:rPr>
          <w:rFonts w:cs="Times New Roman"/>
          <w:bCs/>
        </w:rPr>
        <w:t>Economies are requested to provide comments on the Guide by</w:t>
      </w:r>
      <w:r w:rsidR="002F617D" w:rsidRPr="009D51B7">
        <w:rPr>
          <w:rFonts w:cs="Times New Roman"/>
          <w:bCs/>
        </w:rPr>
        <w:t xml:space="preserve"> December </w:t>
      </w:r>
      <w:r w:rsidR="003149D1">
        <w:rPr>
          <w:rFonts w:cs="Times New Roman"/>
          <w:bCs/>
        </w:rPr>
        <w:t>9</w:t>
      </w:r>
      <w:r w:rsidR="002F617D" w:rsidRPr="009D51B7">
        <w:rPr>
          <w:rFonts w:cs="Times New Roman"/>
          <w:bCs/>
        </w:rPr>
        <w:t>, 2016.</w:t>
      </w:r>
    </w:p>
    <w:p w14:paraId="62B48B7B" w14:textId="484E7BCF" w:rsidR="00507350" w:rsidRPr="009D51B7" w:rsidRDefault="00EB0D4C" w:rsidP="002F617D">
      <w:pPr>
        <w:pStyle w:val="ListParagraph"/>
        <w:numPr>
          <w:ilvl w:val="0"/>
          <w:numId w:val="20"/>
        </w:numPr>
        <w:rPr>
          <w:rFonts w:cs="Times New Roman"/>
          <w:bCs/>
        </w:rPr>
      </w:pPr>
      <w:r w:rsidRPr="009D51B7">
        <w:rPr>
          <w:rFonts w:cs="Times New Roman"/>
          <w:bCs/>
        </w:rPr>
        <w:t xml:space="preserve">Work to complete the WRF </w:t>
      </w:r>
      <w:r w:rsidR="002F617D" w:rsidRPr="009D51B7">
        <w:rPr>
          <w:rFonts w:cs="Times New Roman"/>
          <w:bCs/>
        </w:rPr>
        <w:t>“</w:t>
      </w:r>
      <w:r w:rsidRPr="009D51B7">
        <w:rPr>
          <w:rFonts w:cs="Times New Roman"/>
          <w:bCs/>
          <w:i/>
          <w:iCs/>
        </w:rPr>
        <w:t>Guide to Development of Wine Standards that align with widely accepted International Regulatory Practice</w:t>
      </w:r>
      <w:r w:rsidR="002F617D" w:rsidRPr="009D51B7">
        <w:rPr>
          <w:rFonts w:cs="Times New Roman"/>
          <w:bCs/>
          <w:i/>
          <w:iCs/>
        </w:rPr>
        <w:t xml:space="preserve">” </w:t>
      </w:r>
      <w:r w:rsidR="002F617D" w:rsidRPr="009D51B7">
        <w:rPr>
          <w:rFonts w:cs="Times New Roman"/>
          <w:bCs/>
          <w:iCs/>
        </w:rPr>
        <w:t xml:space="preserve">by the 2017 </w:t>
      </w:r>
      <w:r w:rsidR="00423B34">
        <w:rPr>
          <w:rFonts w:cs="Times New Roman"/>
          <w:bCs/>
          <w:iCs/>
        </w:rPr>
        <w:t>WRF</w:t>
      </w:r>
      <w:r w:rsidR="00423B34" w:rsidRPr="009D51B7">
        <w:rPr>
          <w:rFonts w:cs="Times New Roman"/>
          <w:bCs/>
          <w:iCs/>
        </w:rPr>
        <w:t xml:space="preserve"> </w:t>
      </w:r>
      <w:r w:rsidR="002F617D" w:rsidRPr="009D51B7">
        <w:rPr>
          <w:rFonts w:cs="Times New Roman"/>
          <w:bCs/>
          <w:iCs/>
        </w:rPr>
        <w:t xml:space="preserve">meeting. </w:t>
      </w:r>
    </w:p>
    <w:p w14:paraId="4357CFBA" w14:textId="49A567B2" w:rsidR="00507350" w:rsidRPr="009D51B7" w:rsidRDefault="00EB0D4C" w:rsidP="002F617D">
      <w:pPr>
        <w:pStyle w:val="ListParagraph"/>
        <w:numPr>
          <w:ilvl w:val="0"/>
          <w:numId w:val="20"/>
        </w:numPr>
        <w:rPr>
          <w:rFonts w:cs="Times New Roman"/>
          <w:bCs/>
        </w:rPr>
      </w:pPr>
      <w:r w:rsidRPr="009D51B7">
        <w:rPr>
          <w:rFonts w:cs="Times New Roman"/>
          <w:bCs/>
        </w:rPr>
        <w:t>Consider how best t</w:t>
      </w:r>
      <w:r w:rsidR="00512ECF">
        <w:rPr>
          <w:rFonts w:cs="Times New Roman"/>
          <w:bCs/>
        </w:rPr>
        <w:t>o gather and share within the W</w:t>
      </w:r>
      <w:r w:rsidRPr="009D51B7">
        <w:rPr>
          <w:rFonts w:cs="Times New Roman"/>
          <w:bCs/>
        </w:rPr>
        <w:t>R</w:t>
      </w:r>
      <w:r w:rsidR="00512ECF">
        <w:rPr>
          <w:rFonts w:cs="Times New Roman"/>
          <w:bCs/>
        </w:rPr>
        <w:t>F</w:t>
      </w:r>
      <w:r w:rsidRPr="009D51B7">
        <w:rPr>
          <w:rFonts w:cs="Times New Roman"/>
          <w:bCs/>
        </w:rPr>
        <w:t xml:space="preserve"> reliable reference information on naturally occurring components in wine, including metals, and regulatory limits that are imposed on </w:t>
      </w:r>
      <w:r w:rsidR="00A73707">
        <w:rPr>
          <w:rFonts w:cs="Times New Roman"/>
          <w:bCs/>
        </w:rPr>
        <w:t>such components</w:t>
      </w:r>
      <w:r w:rsidRPr="009D51B7">
        <w:rPr>
          <w:rFonts w:cs="Times New Roman"/>
          <w:bCs/>
        </w:rPr>
        <w:t>.</w:t>
      </w:r>
      <w:r w:rsidR="00CA45EC" w:rsidRPr="009D51B7">
        <w:rPr>
          <w:rFonts w:cs="Times New Roman"/>
          <w:bCs/>
        </w:rPr>
        <w:t xml:space="preserve">  Consider how the current </w:t>
      </w:r>
      <w:r w:rsidR="00862E1B">
        <w:rPr>
          <w:rFonts w:cs="Times New Roman"/>
          <w:bCs/>
        </w:rPr>
        <w:t>International Federation of Wines and Spirits (</w:t>
      </w:r>
      <w:r w:rsidR="00CA45EC" w:rsidRPr="009D51B7">
        <w:rPr>
          <w:rFonts w:cs="Times New Roman"/>
          <w:bCs/>
        </w:rPr>
        <w:t>FIVS</w:t>
      </w:r>
      <w:r w:rsidR="00862E1B">
        <w:rPr>
          <w:rFonts w:cs="Times New Roman"/>
          <w:bCs/>
        </w:rPr>
        <w:t>)</w:t>
      </w:r>
      <w:r w:rsidR="00CA45EC" w:rsidRPr="009D51B7">
        <w:rPr>
          <w:rFonts w:cs="Times New Roman"/>
          <w:bCs/>
        </w:rPr>
        <w:t xml:space="preserve"> Scien</w:t>
      </w:r>
      <w:r w:rsidR="00EE3A34">
        <w:rPr>
          <w:rFonts w:cs="Times New Roman"/>
          <w:bCs/>
        </w:rPr>
        <w:t>tific</w:t>
      </w:r>
      <w:r w:rsidR="00CA45EC" w:rsidRPr="009D51B7">
        <w:rPr>
          <w:rFonts w:cs="Times New Roman"/>
          <w:bCs/>
        </w:rPr>
        <w:t xml:space="preserve"> and Technical Committee</w:t>
      </w:r>
      <w:r w:rsidR="00EE3A34">
        <w:rPr>
          <w:rFonts w:cs="Times New Roman"/>
          <w:bCs/>
        </w:rPr>
        <w:t xml:space="preserve"> (STC) </w:t>
      </w:r>
      <w:r w:rsidR="00CA45EC" w:rsidRPr="009D51B7">
        <w:rPr>
          <w:rFonts w:cs="Times New Roman"/>
          <w:bCs/>
        </w:rPr>
        <w:t xml:space="preserve">work can be incorporated. </w:t>
      </w:r>
    </w:p>
    <w:p w14:paraId="1AC8F33B" w14:textId="6BAA2964" w:rsidR="00507350" w:rsidRPr="009D51B7" w:rsidRDefault="00EB0D4C" w:rsidP="002F617D">
      <w:pPr>
        <w:pStyle w:val="ListParagraph"/>
        <w:numPr>
          <w:ilvl w:val="0"/>
          <w:numId w:val="20"/>
        </w:numPr>
        <w:rPr>
          <w:rFonts w:cs="Times New Roman"/>
          <w:bCs/>
        </w:rPr>
      </w:pPr>
      <w:r w:rsidRPr="009D51B7">
        <w:rPr>
          <w:rFonts w:cs="Times New Roman"/>
          <w:bCs/>
        </w:rPr>
        <w:lastRenderedPageBreak/>
        <w:t>Prepare a stock</w:t>
      </w:r>
      <w:r w:rsidR="00EE3A34">
        <w:rPr>
          <w:rFonts w:cs="Times New Roman"/>
          <w:bCs/>
        </w:rPr>
        <w:t>-</w:t>
      </w:r>
      <w:r w:rsidRPr="009D51B7">
        <w:rPr>
          <w:rFonts w:cs="Times New Roman"/>
          <w:bCs/>
        </w:rPr>
        <w:t xml:space="preserve">take of relevant work already completed or underway within APEC WRF and its </w:t>
      </w:r>
      <w:r w:rsidR="00862E1B">
        <w:rPr>
          <w:rFonts w:cs="Times New Roman"/>
          <w:bCs/>
        </w:rPr>
        <w:t>Working G</w:t>
      </w:r>
      <w:r w:rsidR="00423B34">
        <w:rPr>
          <w:rFonts w:cs="Times New Roman"/>
          <w:bCs/>
        </w:rPr>
        <w:t>roups</w:t>
      </w:r>
      <w:r w:rsidRPr="009D51B7">
        <w:rPr>
          <w:rFonts w:cs="Times New Roman"/>
          <w:bCs/>
        </w:rPr>
        <w:t>, and identify the next steps for the WRF in examining good regulatory practice principles.</w:t>
      </w:r>
    </w:p>
    <w:p w14:paraId="64AC74CA" w14:textId="7A02C188" w:rsidR="00507350" w:rsidRPr="009D51B7" w:rsidRDefault="00EB0D4C" w:rsidP="00CA45EC">
      <w:pPr>
        <w:numPr>
          <w:ilvl w:val="0"/>
          <w:numId w:val="20"/>
        </w:numPr>
        <w:rPr>
          <w:rFonts w:cs="Times New Roman"/>
          <w:bCs/>
        </w:rPr>
      </w:pPr>
      <w:r w:rsidRPr="009D51B7">
        <w:rPr>
          <w:rFonts w:cs="Times New Roman"/>
          <w:bCs/>
        </w:rPr>
        <w:t xml:space="preserve">Develop case studies of good regulatory practice principles for wine being applied.  </w:t>
      </w:r>
      <w:r w:rsidR="00EE3A34">
        <w:rPr>
          <w:rFonts w:cs="Times New Roman"/>
          <w:bCs/>
        </w:rPr>
        <w:t>This could</w:t>
      </w:r>
      <w:r w:rsidR="00EE3A34" w:rsidRPr="009D51B7">
        <w:rPr>
          <w:rFonts w:cs="Times New Roman"/>
          <w:bCs/>
        </w:rPr>
        <w:t xml:space="preserve"> </w:t>
      </w:r>
      <w:r w:rsidRPr="009D51B7">
        <w:rPr>
          <w:rFonts w:cs="Times New Roman"/>
          <w:bCs/>
        </w:rPr>
        <w:t>include</w:t>
      </w:r>
      <w:r w:rsidR="00423B34">
        <w:rPr>
          <w:rFonts w:cs="Times New Roman"/>
          <w:bCs/>
        </w:rPr>
        <w:t xml:space="preserve"> the</w:t>
      </w:r>
      <w:r w:rsidRPr="009D51B7">
        <w:rPr>
          <w:rFonts w:cs="Times New Roman"/>
          <w:bCs/>
        </w:rPr>
        <w:t xml:space="preserve"> review and reporting to </w:t>
      </w:r>
      <w:r w:rsidR="00423B34">
        <w:rPr>
          <w:rFonts w:cs="Times New Roman"/>
          <w:bCs/>
        </w:rPr>
        <w:t xml:space="preserve">the </w:t>
      </w:r>
      <w:r w:rsidRPr="009D51B7">
        <w:rPr>
          <w:rFonts w:cs="Times New Roman"/>
          <w:bCs/>
        </w:rPr>
        <w:t>APEC WRF on any relevant technical papers on good regulatory practice principles for wine, such as I</w:t>
      </w:r>
      <w:r w:rsidR="00B03D05" w:rsidRPr="009D51B7">
        <w:rPr>
          <w:rFonts w:cs="Times New Roman"/>
          <w:bCs/>
        </w:rPr>
        <w:t xml:space="preserve">WTS </w:t>
      </w:r>
      <w:r w:rsidRPr="009D51B7">
        <w:rPr>
          <w:rFonts w:cs="Times New Roman"/>
          <w:bCs/>
        </w:rPr>
        <w:t>papers</w:t>
      </w:r>
      <w:r w:rsidR="007047AA" w:rsidRPr="009D51B7">
        <w:rPr>
          <w:rStyle w:val="FootnoteReference"/>
          <w:rFonts w:cs="Times New Roman"/>
          <w:bCs/>
        </w:rPr>
        <w:footnoteReference w:id="7"/>
      </w:r>
      <w:r w:rsidRPr="009D51B7">
        <w:rPr>
          <w:rFonts w:cs="Times New Roman"/>
          <w:bCs/>
        </w:rPr>
        <w:t xml:space="preserve"> on:</w:t>
      </w:r>
    </w:p>
    <w:p w14:paraId="47094EB0" w14:textId="5C8117F5" w:rsidR="00507350" w:rsidRPr="009D51B7" w:rsidRDefault="00EB0D4C" w:rsidP="00CF19E1">
      <w:pPr>
        <w:numPr>
          <w:ilvl w:val="3"/>
          <w:numId w:val="27"/>
        </w:numPr>
        <w:rPr>
          <w:rFonts w:cs="Times New Roman"/>
          <w:bCs/>
        </w:rPr>
      </w:pPr>
      <w:r w:rsidRPr="009D51B7">
        <w:rPr>
          <w:rFonts w:cs="Times New Roman"/>
          <w:bCs/>
        </w:rPr>
        <w:t>Harmonizing Expression of Measurement Results in Wine Analysis: Testing for Total or Titratable Acidity (TA) of Wine</w:t>
      </w:r>
      <w:r w:rsidR="00674466">
        <w:rPr>
          <w:rFonts w:cs="Times New Roman"/>
          <w:bCs/>
        </w:rPr>
        <w:t>, and</w:t>
      </w:r>
    </w:p>
    <w:p w14:paraId="4B1C7F97" w14:textId="7262B26D" w:rsidR="00507350" w:rsidRPr="009D51B7" w:rsidRDefault="00EB0D4C" w:rsidP="00CF19E1">
      <w:pPr>
        <w:numPr>
          <w:ilvl w:val="3"/>
          <w:numId w:val="27"/>
        </w:numPr>
        <w:rPr>
          <w:rFonts w:cs="Times New Roman"/>
          <w:bCs/>
        </w:rPr>
      </w:pPr>
      <w:r w:rsidRPr="009D51B7">
        <w:rPr>
          <w:rFonts w:cs="Times New Roman"/>
          <w:bCs/>
        </w:rPr>
        <w:t>Harmonizing Reporting of Regulatory Limits in Wine Analysis via International Systems of Units</w:t>
      </w:r>
      <w:r w:rsidR="00674466">
        <w:rPr>
          <w:rFonts w:cs="Times New Roman"/>
          <w:bCs/>
        </w:rPr>
        <w:t>.</w:t>
      </w:r>
    </w:p>
    <w:p w14:paraId="1F57B2E7" w14:textId="1EA3B53A" w:rsidR="00507350" w:rsidRPr="002F45E9" w:rsidRDefault="00EB0D4C" w:rsidP="002F45E9">
      <w:pPr>
        <w:pStyle w:val="ListParagraph"/>
        <w:numPr>
          <w:ilvl w:val="3"/>
          <w:numId w:val="27"/>
        </w:numPr>
        <w:rPr>
          <w:rFonts w:cs="Times New Roman"/>
          <w:bCs/>
        </w:rPr>
      </w:pPr>
      <w:r w:rsidRPr="002F45E9">
        <w:rPr>
          <w:rFonts w:cs="Times New Roman"/>
          <w:bCs/>
        </w:rPr>
        <w:t>Laboratory Data Quality and Certificates of Analysis</w:t>
      </w:r>
      <w:r w:rsidR="00EE3A34" w:rsidRPr="002F45E9">
        <w:rPr>
          <w:rFonts w:cs="Times New Roman"/>
          <w:bCs/>
        </w:rPr>
        <w:t>.</w:t>
      </w:r>
    </w:p>
    <w:p w14:paraId="619A7FDD" w14:textId="77777777" w:rsidR="00BD18D3" w:rsidRPr="009D51B7" w:rsidRDefault="00BD18D3" w:rsidP="00CF19E1">
      <w:pPr>
        <w:rPr>
          <w:rFonts w:cs="Times New Roman"/>
          <w:b/>
        </w:rPr>
      </w:pPr>
    </w:p>
    <w:p w14:paraId="41773915" w14:textId="77777777" w:rsidR="00916082" w:rsidRDefault="00916082" w:rsidP="00081F63">
      <w:pPr>
        <w:jc w:val="center"/>
        <w:rPr>
          <w:rFonts w:cs="Times New Roman"/>
          <w:b/>
          <w:bCs/>
          <w:sz w:val="28"/>
          <w:szCs w:val="28"/>
        </w:rPr>
      </w:pPr>
    </w:p>
    <w:p w14:paraId="31CFD1A3" w14:textId="77777777" w:rsidR="00081F63" w:rsidRDefault="00081F63" w:rsidP="00081F63">
      <w:pPr>
        <w:jc w:val="center"/>
        <w:rPr>
          <w:rFonts w:cs="Times New Roman"/>
          <w:b/>
          <w:bCs/>
          <w:sz w:val="28"/>
          <w:szCs w:val="28"/>
        </w:rPr>
      </w:pPr>
      <w:r>
        <w:rPr>
          <w:rFonts w:cs="Times New Roman"/>
          <w:b/>
          <w:bCs/>
          <w:sz w:val="28"/>
          <w:szCs w:val="28"/>
        </w:rPr>
        <w:t>WRF References in Key 2016 APEC Statements</w:t>
      </w:r>
    </w:p>
    <w:p w14:paraId="6532C4C3" w14:textId="77777777" w:rsidR="00081F63" w:rsidRPr="009D51B7" w:rsidRDefault="00081F63" w:rsidP="00081F63">
      <w:pPr>
        <w:jc w:val="center"/>
        <w:rPr>
          <w:rFonts w:cs="Times New Roman"/>
          <w:b/>
          <w:bCs/>
        </w:rPr>
      </w:pPr>
    </w:p>
    <w:p w14:paraId="67B36758" w14:textId="4C5B214B" w:rsidR="00081F63" w:rsidRPr="00ED6E0D" w:rsidRDefault="00081F63" w:rsidP="00081F63">
      <w:pPr>
        <w:widowControl w:val="0"/>
        <w:autoSpaceDE w:val="0"/>
        <w:autoSpaceDN w:val="0"/>
        <w:adjustRightInd w:val="0"/>
        <w:rPr>
          <w:rFonts w:cs="Lato-Regular"/>
          <w:color w:val="000000" w:themeColor="text1"/>
        </w:rPr>
      </w:pPr>
      <w:r w:rsidRPr="00ED6E0D">
        <w:rPr>
          <w:rFonts w:cs="Arial"/>
          <w:color w:val="000000" w:themeColor="text1"/>
          <w:lang w:val="en"/>
        </w:rPr>
        <w:t xml:space="preserve">On May 18, 2016, </w:t>
      </w:r>
      <w:r w:rsidRPr="00ED6E0D">
        <w:rPr>
          <w:rFonts w:cs="Lato-Bold"/>
          <w:bCs/>
          <w:color w:val="000000" w:themeColor="text1"/>
        </w:rPr>
        <w:t xml:space="preserve">in Arequipa, Peru, </w:t>
      </w:r>
      <w:r w:rsidRPr="00ED6E0D">
        <w:rPr>
          <w:rFonts w:cs="Lato-Regular"/>
          <w:color w:val="000000" w:themeColor="text1"/>
        </w:rPr>
        <w:t>the APEC Ministers Responsible for Trade (MRT)</w:t>
      </w:r>
      <w:r w:rsidRPr="00ED6E0D">
        <w:rPr>
          <w:rStyle w:val="FootnoteReference"/>
          <w:rFonts w:cs="Lato-Regular"/>
          <w:color w:val="000000" w:themeColor="text1"/>
        </w:rPr>
        <w:footnoteReference w:id="8"/>
      </w:r>
      <w:r w:rsidRPr="00ED6E0D">
        <w:rPr>
          <w:rFonts w:cs="Lato-Regular"/>
          <w:color w:val="000000" w:themeColor="text1"/>
        </w:rPr>
        <w:t xml:space="preserve"> issued its statement which included this reference to the WRF: </w:t>
      </w:r>
    </w:p>
    <w:p w14:paraId="68909A7F" w14:textId="77777777" w:rsidR="00081F63" w:rsidRPr="00ED6E0D" w:rsidRDefault="00081F63" w:rsidP="00081F63">
      <w:pPr>
        <w:rPr>
          <w:rFonts w:cs="Arial"/>
          <w:color w:val="000000" w:themeColor="text1"/>
          <w:lang w:val="en"/>
        </w:rPr>
      </w:pPr>
    </w:p>
    <w:p w14:paraId="0E83D9D3" w14:textId="14BA40D2" w:rsidR="00081F63" w:rsidRPr="00ED6E0D" w:rsidRDefault="00081F63" w:rsidP="00081F63">
      <w:pPr>
        <w:ind w:left="360"/>
        <w:rPr>
          <w:rFonts w:cs="Arial"/>
          <w:lang w:val="en"/>
        </w:rPr>
      </w:pPr>
      <w:r w:rsidRPr="00ED6E0D">
        <w:rPr>
          <w:rFonts w:cs="Arial"/>
          <w:color w:val="000000" w:themeColor="text1"/>
          <w:lang w:val="en"/>
        </w:rPr>
        <w:t xml:space="preserve">“We congratulate the </w:t>
      </w:r>
      <w:r w:rsidR="00A73707" w:rsidRPr="00ED6E0D">
        <w:rPr>
          <w:rFonts w:cs="Arial"/>
          <w:color w:val="000000" w:themeColor="text1"/>
          <w:lang w:val="en"/>
        </w:rPr>
        <w:t>SCSC</w:t>
      </w:r>
      <w:r w:rsidRPr="00ED6E0D">
        <w:rPr>
          <w:rFonts w:cs="Arial"/>
          <w:color w:val="000000" w:themeColor="text1"/>
          <w:lang w:val="en"/>
        </w:rPr>
        <w:t xml:space="preserve"> Wine Regulatory Forum (WRF) for fulfilling its goal to develop a consolidated APEC wine certificate, which will facilitate wine trade in the APEC region.  </w:t>
      </w:r>
      <w:r w:rsidRPr="00ED6E0D">
        <w:rPr>
          <w:rFonts w:cs="Arial"/>
          <w:lang w:val="en"/>
        </w:rPr>
        <w:t>We look forward to continued work by the WRF to promote reduction and elimination of technical barriers for wine trade including through its efforts to promote good regulatory practices for wine through voluntary implementation of the APEC Model Wine Certificate.”</w:t>
      </w:r>
    </w:p>
    <w:p w14:paraId="6F8F7C21" w14:textId="77777777" w:rsidR="00CA2849" w:rsidRPr="00ED6E0D" w:rsidRDefault="00CA2849" w:rsidP="00ED6E0D">
      <w:pPr>
        <w:rPr>
          <w:rFonts w:cs="Arial"/>
          <w:lang w:val="en"/>
        </w:rPr>
      </w:pPr>
    </w:p>
    <w:p w14:paraId="6E99FFB0" w14:textId="1BEC1685" w:rsidR="00CA2849" w:rsidRPr="00ED6E0D" w:rsidRDefault="00CA2849" w:rsidP="00ED6E0D">
      <w:pPr>
        <w:rPr>
          <w:rFonts w:cs="Arial"/>
          <w:lang w:val="en"/>
        </w:rPr>
      </w:pPr>
      <w:r w:rsidRPr="00ED6E0D">
        <w:rPr>
          <w:rFonts w:cs="Arial"/>
          <w:lang w:val="en"/>
        </w:rPr>
        <w:t>On</w:t>
      </w:r>
      <w:r w:rsidR="00ED6E0D" w:rsidRPr="00ED6E0D">
        <w:rPr>
          <w:rFonts w:cs="Arial"/>
          <w:lang w:val="en"/>
        </w:rPr>
        <w:t xml:space="preserve"> November 18, in Lima, Peru, APEC Ministers issued a second statement supporting the work of the WRF</w:t>
      </w:r>
      <w:r w:rsidR="00ED6E0D" w:rsidRPr="00ED6E0D">
        <w:rPr>
          <w:rStyle w:val="FootnoteReference"/>
          <w:rFonts w:cs="Arial"/>
          <w:lang w:val="en"/>
        </w:rPr>
        <w:footnoteReference w:id="9"/>
      </w:r>
      <w:r w:rsidR="00ED6E0D" w:rsidRPr="00ED6E0D">
        <w:rPr>
          <w:rFonts w:cs="Arial"/>
          <w:lang w:val="en"/>
        </w:rPr>
        <w:t>:</w:t>
      </w:r>
    </w:p>
    <w:p w14:paraId="202A08F6" w14:textId="77777777" w:rsidR="00ED6E0D" w:rsidRPr="00ED6E0D" w:rsidRDefault="00ED6E0D" w:rsidP="00ED6E0D">
      <w:pPr>
        <w:rPr>
          <w:rFonts w:cs="Arial"/>
          <w:lang w:val="en"/>
        </w:rPr>
      </w:pPr>
    </w:p>
    <w:p w14:paraId="7D6770C9" w14:textId="7C650EE0" w:rsidR="00B56B41" w:rsidRPr="00ED6E0D" w:rsidRDefault="00CA2849" w:rsidP="00081F63">
      <w:pPr>
        <w:ind w:left="360"/>
        <w:rPr>
          <w:rFonts w:cs="Times New Roman"/>
          <w:b/>
          <w:bCs/>
          <w:color w:val="FF0000"/>
        </w:rPr>
      </w:pPr>
      <w:r w:rsidRPr="00ED6E0D">
        <w:rPr>
          <w:rFonts w:cs="Arial"/>
        </w:rPr>
        <w:t>We congratulate the SCSC Wine Regulatory Forum (WRF) for fulfilling its goal to develop a consolidated voluntary APEC model wine certificate. We look forward to continued work by the WRF to promote the reduction and elimination of technical barriers on wine trade.</w:t>
      </w:r>
    </w:p>
    <w:p w14:paraId="14B9FE6B" w14:textId="77777777" w:rsidR="00E7554B" w:rsidRDefault="00E7554B" w:rsidP="00544A19">
      <w:pPr>
        <w:jc w:val="center"/>
        <w:rPr>
          <w:rFonts w:cs="Times New Roman"/>
          <w:b/>
          <w:sz w:val="28"/>
          <w:szCs w:val="28"/>
        </w:rPr>
      </w:pPr>
    </w:p>
    <w:p w14:paraId="4BAE094E" w14:textId="77777777" w:rsidR="00E523DF" w:rsidRDefault="00E523DF" w:rsidP="00544A19">
      <w:pPr>
        <w:jc w:val="center"/>
        <w:rPr>
          <w:rFonts w:cs="Times New Roman"/>
          <w:b/>
          <w:sz w:val="28"/>
          <w:szCs w:val="28"/>
        </w:rPr>
      </w:pPr>
    </w:p>
    <w:p w14:paraId="4C8933BC" w14:textId="3145220D" w:rsidR="00C24F2D" w:rsidRPr="001E2390" w:rsidRDefault="00C24F2D" w:rsidP="00544A19">
      <w:pPr>
        <w:jc w:val="center"/>
        <w:rPr>
          <w:rFonts w:cs="Times New Roman"/>
          <w:b/>
          <w:sz w:val="28"/>
          <w:szCs w:val="28"/>
        </w:rPr>
      </w:pPr>
      <w:r w:rsidRPr="001E2390">
        <w:rPr>
          <w:rFonts w:cs="Times New Roman"/>
          <w:b/>
          <w:sz w:val="28"/>
          <w:szCs w:val="28"/>
        </w:rPr>
        <w:t>Collabora</w:t>
      </w:r>
      <w:r w:rsidR="00182313" w:rsidRPr="001E2390">
        <w:rPr>
          <w:rFonts w:cs="Times New Roman"/>
          <w:b/>
          <w:sz w:val="28"/>
          <w:szCs w:val="28"/>
        </w:rPr>
        <w:t>tion with non-WRF Organizations</w:t>
      </w:r>
    </w:p>
    <w:p w14:paraId="20D26002" w14:textId="77777777" w:rsidR="00182313" w:rsidRPr="009D51B7" w:rsidRDefault="00182313" w:rsidP="00182313">
      <w:pPr>
        <w:rPr>
          <w:rFonts w:cs="Times New Roman"/>
          <w:color w:val="7030A0"/>
        </w:rPr>
      </w:pPr>
    </w:p>
    <w:p w14:paraId="46929BAC" w14:textId="4855647F" w:rsidR="00C24F2D" w:rsidRPr="009D51B7" w:rsidRDefault="00C24F2D" w:rsidP="00182313">
      <w:pPr>
        <w:rPr>
          <w:rFonts w:cs="Times New Roman"/>
        </w:rPr>
      </w:pPr>
      <w:r w:rsidRPr="009D51B7">
        <w:rPr>
          <w:rFonts w:cs="Times New Roman"/>
        </w:rPr>
        <w:t xml:space="preserve">Members acknowledged the cooperative relationship between the WRF and the FSCF and the role that the groups play in furthering the work of the SCSC. </w:t>
      </w:r>
      <w:r w:rsidR="00BD18D3" w:rsidRPr="009D51B7">
        <w:rPr>
          <w:rFonts w:cs="Times New Roman"/>
        </w:rPr>
        <w:t xml:space="preserve"> </w:t>
      </w:r>
      <w:r w:rsidRPr="009D51B7">
        <w:rPr>
          <w:rFonts w:cs="Times New Roman"/>
        </w:rPr>
        <w:t>Coordination between the two, particularly at the FSCF’s 2017 meeting in Hanoi, Viet</w:t>
      </w:r>
      <w:r w:rsidR="00A73707">
        <w:rPr>
          <w:rFonts w:cs="Times New Roman"/>
        </w:rPr>
        <w:t xml:space="preserve"> N</w:t>
      </w:r>
      <w:r w:rsidRPr="009D51B7">
        <w:rPr>
          <w:rFonts w:cs="Times New Roman"/>
        </w:rPr>
        <w:t xml:space="preserve">am were discussed and future work projects together were encouraged. </w:t>
      </w:r>
    </w:p>
    <w:p w14:paraId="08B03A56" w14:textId="77777777" w:rsidR="00182313" w:rsidRPr="009D51B7" w:rsidRDefault="00182313" w:rsidP="00182313">
      <w:pPr>
        <w:rPr>
          <w:rFonts w:cs="Times New Roman"/>
        </w:rPr>
      </w:pPr>
    </w:p>
    <w:p w14:paraId="016AF04D" w14:textId="6EA7E02E" w:rsidR="00C24F2D" w:rsidRPr="009D51B7" w:rsidRDefault="00C24F2D" w:rsidP="00182313">
      <w:pPr>
        <w:rPr>
          <w:rFonts w:cs="Times New Roman"/>
        </w:rPr>
      </w:pPr>
      <w:r w:rsidRPr="009D51B7">
        <w:rPr>
          <w:rFonts w:cs="Times New Roman"/>
        </w:rPr>
        <w:lastRenderedPageBreak/>
        <w:t>Recognizing the importance of links with both APEC and non‐APEC forums, presentations were made on the work of the WWTG, IWTS</w:t>
      </w:r>
      <w:r w:rsidR="00423B34">
        <w:rPr>
          <w:rFonts w:cs="Times New Roman"/>
        </w:rPr>
        <w:t>,</w:t>
      </w:r>
      <w:r w:rsidRPr="009D51B7">
        <w:rPr>
          <w:rFonts w:cs="Times New Roman"/>
        </w:rPr>
        <w:t xml:space="preserve"> and FIVS (including FIVS-Abridge, FIVS-Apace</w:t>
      </w:r>
      <w:r w:rsidR="00862E1B">
        <w:rPr>
          <w:rFonts w:cs="Times New Roman"/>
        </w:rPr>
        <w:t>,</w:t>
      </w:r>
      <w:r w:rsidRPr="009D51B7">
        <w:rPr>
          <w:rFonts w:cs="Times New Roman"/>
        </w:rPr>
        <w:t xml:space="preserve"> and the FIVS </w:t>
      </w:r>
      <w:r w:rsidR="00EE3A34">
        <w:rPr>
          <w:rFonts w:cs="Times New Roman"/>
        </w:rPr>
        <w:t>STC</w:t>
      </w:r>
      <w:r w:rsidRPr="009D51B7">
        <w:rPr>
          <w:rFonts w:cs="Times New Roman"/>
        </w:rPr>
        <w:t xml:space="preserve">) and future cooperation with these organizations was supported. </w:t>
      </w:r>
    </w:p>
    <w:p w14:paraId="30411706" w14:textId="77777777" w:rsidR="00B160CA" w:rsidRDefault="00B160CA" w:rsidP="00BD18D3">
      <w:pPr>
        <w:jc w:val="center"/>
        <w:rPr>
          <w:rFonts w:cs="Times New Roman"/>
          <w:b/>
          <w:sz w:val="28"/>
          <w:szCs w:val="28"/>
        </w:rPr>
      </w:pPr>
    </w:p>
    <w:p w14:paraId="4C1D1121" w14:textId="77777777" w:rsidR="00B160CA" w:rsidRDefault="00B160CA" w:rsidP="00BD18D3">
      <w:pPr>
        <w:jc w:val="center"/>
        <w:rPr>
          <w:rFonts w:cs="Times New Roman"/>
          <w:b/>
          <w:sz w:val="28"/>
          <w:szCs w:val="28"/>
        </w:rPr>
      </w:pPr>
    </w:p>
    <w:p w14:paraId="6D94B14B" w14:textId="730972D9" w:rsidR="00BD18D3" w:rsidRPr="001E2390" w:rsidRDefault="00BD18D3" w:rsidP="00BD18D3">
      <w:pPr>
        <w:jc w:val="center"/>
        <w:rPr>
          <w:rFonts w:cs="Times New Roman"/>
          <w:b/>
          <w:sz w:val="28"/>
          <w:szCs w:val="28"/>
        </w:rPr>
      </w:pPr>
      <w:bookmarkStart w:id="0" w:name="_GoBack"/>
      <w:bookmarkEnd w:id="0"/>
      <w:r w:rsidRPr="001E2390">
        <w:rPr>
          <w:rFonts w:cs="Times New Roman"/>
          <w:b/>
          <w:sz w:val="28"/>
          <w:szCs w:val="28"/>
        </w:rPr>
        <w:t>2017 WRF Meeting</w:t>
      </w:r>
    </w:p>
    <w:p w14:paraId="2CFB1CA0" w14:textId="77777777" w:rsidR="00C24F2D" w:rsidRPr="009D51B7" w:rsidRDefault="00C24F2D" w:rsidP="00C24F2D">
      <w:pPr>
        <w:rPr>
          <w:rFonts w:cs="Times New Roman"/>
        </w:rPr>
      </w:pPr>
    </w:p>
    <w:p w14:paraId="02B1B258" w14:textId="508EE670" w:rsidR="00C24F2D" w:rsidRPr="009D51B7" w:rsidRDefault="00C24F2D" w:rsidP="00C24F2D">
      <w:pPr>
        <w:rPr>
          <w:rFonts w:cs="Times New Roman"/>
        </w:rPr>
      </w:pPr>
      <w:r w:rsidRPr="009D51B7">
        <w:rPr>
          <w:rFonts w:cs="Times New Roman"/>
        </w:rPr>
        <w:t>Economies were encouraged to submit nominations to the WRF Project Overseer</w:t>
      </w:r>
      <w:r w:rsidRPr="009D51B7">
        <w:rPr>
          <w:rFonts w:cs="Times New Roman"/>
          <w:position w:val="264"/>
        </w:rPr>
        <w:t xml:space="preserve"> </w:t>
      </w:r>
      <w:r w:rsidRPr="009D51B7">
        <w:rPr>
          <w:rFonts w:cs="Times New Roman"/>
        </w:rPr>
        <w:t xml:space="preserve">by January 1, 2017 for membership </w:t>
      </w:r>
      <w:r w:rsidR="00862E1B">
        <w:rPr>
          <w:rFonts w:cs="Times New Roman"/>
        </w:rPr>
        <w:t>i</w:t>
      </w:r>
      <w:r w:rsidRPr="009D51B7">
        <w:rPr>
          <w:rFonts w:cs="Times New Roman"/>
        </w:rPr>
        <w:t xml:space="preserve">n any of the five WRF </w:t>
      </w:r>
      <w:r w:rsidRPr="009D51B7">
        <w:rPr>
          <w:rFonts w:cs="Times New Roman"/>
          <w:bCs/>
        </w:rPr>
        <w:t>Working Groups (particularly to those working groups on which the economy is not currently represented)</w:t>
      </w:r>
      <w:r w:rsidR="008576E2" w:rsidRPr="008576E2">
        <w:t xml:space="preserve"> </w:t>
      </w:r>
      <w:r w:rsidR="008576E2">
        <w:rPr>
          <w:rFonts w:cs="Times New Roman"/>
          <w:bCs/>
        </w:rPr>
        <w:t>and</w:t>
      </w:r>
      <w:r w:rsidR="008576E2" w:rsidRPr="008576E2">
        <w:rPr>
          <w:rFonts w:cs="Times New Roman"/>
          <w:bCs/>
        </w:rPr>
        <w:t xml:space="preserve"> </w:t>
      </w:r>
      <w:r w:rsidR="008576E2">
        <w:rPr>
          <w:rFonts w:cs="Times New Roman"/>
          <w:bCs/>
        </w:rPr>
        <w:t>continue engagement</w:t>
      </w:r>
      <w:r w:rsidR="008576E2" w:rsidRPr="008576E2">
        <w:rPr>
          <w:rFonts w:cs="Times New Roman"/>
          <w:bCs/>
        </w:rPr>
        <w:t xml:space="preserve"> in</w:t>
      </w:r>
      <w:r w:rsidR="008576E2">
        <w:rPr>
          <w:rFonts w:cs="Times New Roman"/>
          <w:bCs/>
        </w:rPr>
        <w:t xml:space="preserve"> other</w:t>
      </w:r>
      <w:r w:rsidR="008576E2" w:rsidRPr="008576E2">
        <w:rPr>
          <w:rFonts w:cs="Times New Roman"/>
          <w:bCs/>
        </w:rPr>
        <w:t xml:space="preserve"> intersessional efforts</w:t>
      </w:r>
      <w:r w:rsidR="008576E2">
        <w:rPr>
          <w:rFonts w:cs="Times New Roman"/>
          <w:bCs/>
        </w:rPr>
        <w:t>, including regulator</w:t>
      </w:r>
      <w:r w:rsidR="008576E2" w:rsidRPr="008576E2">
        <w:rPr>
          <w:rFonts w:cs="Times New Roman"/>
          <w:bCs/>
        </w:rPr>
        <w:t xml:space="preserve"> and industry teleconference calls</w:t>
      </w:r>
      <w:r w:rsidR="008576E2">
        <w:rPr>
          <w:rFonts w:cs="Times New Roman"/>
          <w:bCs/>
        </w:rPr>
        <w:t>.</w:t>
      </w:r>
    </w:p>
    <w:p w14:paraId="761391CA" w14:textId="77777777" w:rsidR="00C24F2D" w:rsidRPr="009D51B7" w:rsidRDefault="00C24F2D" w:rsidP="00C24F2D">
      <w:pPr>
        <w:rPr>
          <w:rFonts w:cs="Times New Roman"/>
        </w:rPr>
      </w:pPr>
    </w:p>
    <w:p w14:paraId="389DDA1E" w14:textId="52B1CEA2" w:rsidR="00C24F2D" w:rsidRPr="009D51B7" w:rsidRDefault="005C0AD3" w:rsidP="00C24F2D">
      <w:pPr>
        <w:rPr>
          <w:rFonts w:cs="Times New Roman"/>
        </w:rPr>
      </w:pPr>
      <w:r w:rsidRPr="009D51B7">
        <w:rPr>
          <w:rFonts w:cs="Times New Roman"/>
        </w:rPr>
        <w:t>P</w:t>
      </w:r>
      <w:r w:rsidR="00C24F2D" w:rsidRPr="009D51B7">
        <w:rPr>
          <w:rFonts w:cs="Times New Roman"/>
        </w:rPr>
        <w:t xml:space="preserve">resentations and other related documents from the 2016 Ottawa Technical Meeting will remain available via the </w:t>
      </w:r>
      <w:hyperlink r:id="rId15" w:history="1">
        <w:r w:rsidR="00C24F2D" w:rsidRPr="008430F3">
          <w:rPr>
            <w:rStyle w:val="Hyperlink"/>
            <w:rFonts w:cs="Times New Roman"/>
          </w:rPr>
          <w:t xml:space="preserve">APEC WRF </w:t>
        </w:r>
        <w:r w:rsidR="00862E1B" w:rsidRPr="008430F3">
          <w:rPr>
            <w:rStyle w:val="Hyperlink"/>
            <w:rFonts w:cs="Times New Roman"/>
          </w:rPr>
          <w:t>w</w:t>
        </w:r>
        <w:r w:rsidR="00C24F2D" w:rsidRPr="008430F3">
          <w:rPr>
            <w:rStyle w:val="Hyperlink"/>
            <w:rFonts w:cs="Times New Roman"/>
          </w:rPr>
          <w:t>ebsite</w:t>
        </w:r>
      </w:hyperlink>
      <w:r w:rsidR="00C24F2D" w:rsidRPr="009D51B7">
        <w:rPr>
          <w:rFonts w:cs="Times New Roman"/>
          <w:position w:val="264"/>
        </w:rPr>
        <w:t xml:space="preserve"> </w:t>
      </w:r>
      <w:r w:rsidR="00C24F2D" w:rsidRPr="009D51B7">
        <w:rPr>
          <w:rFonts w:cs="Times New Roman"/>
        </w:rPr>
        <w:t xml:space="preserve">and on the </w:t>
      </w:r>
      <w:hyperlink r:id="rId16" w:history="1">
        <w:r w:rsidR="00C24F2D" w:rsidRPr="008430F3">
          <w:rPr>
            <w:rStyle w:val="Hyperlink"/>
            <w:rFonts w:cs="Times New Roman"/>
          </w:rPr>
          <w:t>APEC Meeting Document Database</w:t>
        </w:r>
      </w:hyperlink>
      <w:r w:rsidR="00C24F2D" w:rsidRPr="009D51B7">
        <w:rPr>
          <w:rFonts w:cs="Times New Roman"/>
        </w:rPr>
        <w:t xml:space="preserve">. </w:t>
      </w:r>
    </w:p>
    <w:p w14:paraId="1AC592C2" w14:textId="77777777" w:rsidR="00C24F2D" w:rsidRPr="009D51B7" w:rsidRDefault="00C24F2D" w:rsidP="00C24F2D">
      <w:pPr>
        <w:rPr>
          <w:rFonts w:cs="Times New Roman"/>
        </w:rPr>
      </w:pPr>
    </w:p>
    <w:p w14:paraId="229664EF" w14:textId="0EFD3C6C" w:rsidR="00BD18D3" w:rsidRPr="009D51B7" w:rsidRDefault="00C24F2D" w:rsidP="00BD18D3">
      <w:pPr>
        <w:rPr>
          <w:rFonts w:cs="Times New Roman"/>
        </w:rPr>
      </w:pPr>
      <w:r w:rsidRPr="009D51B7">
        <w:rPr>
          <w:rFonts w:cs="Times New Roman"/>
        </w:rPr>
        <w:t xml:space="preserve">The 2017 WRF meeting will be held on the margins of the APEC </w:t>
      </w:r>
      <w:r w:rsidR="00862E1B">
        <w:rPr>
          <w:rFonts w:cs="Times New Roman"/>
        </w:rPr>
        <w:t>FSCF</w:t>
      </w:r>
      <w:r w:rsidRPr="009D51B7">
        <w:rPr>
          <w:rFonts w:cs="Times New Roman"/>
        </w:rPr>
        <w:t xml:space="preserve"> meeting, during the SOM2 meetings in Hanoi, Viet</w:t>
      </w:r>
      <w:r w:rsidR="00A73707">
        <w:rPr>
          <w:rFonts w:cs="Times New Roman"/>
        </w:rPr>
        <w:t xml:space="preserve"> Nam</w:t>
      </w:r>
      <w:r w:rsidRPr="009D51B7">
        <w:rPr>
          <w:rFonts w:cs="Times New Roman"/>
        </w:rPr>
        <w:t xml:space="preserve"> in May 2017. </w:t>
      </w:r>
      <w:r w:rsidR="00BD18D3" w:rsidRPr="009D51B7">
        <w:rPr>
          <w:rFonts w:cs="Times New Roman"/>
        </w:rPr>
        <w:t xml:space="preserve"> </w:t>
      </w:r>
      <w:r w:rsidRPr="009D51B7">
        <w:rPr>
          <w:rFonts w:cs="Times New Roman"/>
        </w:rPr>
        <w:t>WRF members are strongly encouraged to participate and to propose agenda items that will further assist economies in the regulation of wine.</w:t>
      </w:r>
    </w:p>
    <w:p w14:paraId="1C9E232D" w14:textId="77777777" w:rsidR="00BD18D3" w:rsidRPr="009D51B7" w:rsidRDefault="00BD18D3" w:rsidP="00BD18D3">
      <w:pPr>
        <w:rPr>
          <w:rFonts w:cs="Times New Roman"/>
        </w:rPr>
      </w:pPr>
    </w:p>
    <w:p w14:paraId="59FADF1E" w14:textId="71E18071" w:rsidR="00C24F2D" w:rsidRDefault="00C24F2D" w:rsidP="00BD18D3">
      <w:pPr>
        <w:rPr>
          <w:rFonts w:cs="Times New Roman"/>
        </w:rPr>
      </w:pPr>
      <w:r w:rsidRPr="009D51B7">
        <w:rPr>
          <w:rFonts w:cs="Times New Roman"/>
        </w:rPr>
        <w:t xml:space="preserve">The Enhanced Risk Controls Working Group will consider options for a </w:t>
      </w:r>
      <w:r w:rsidR="00CF19E1">
        <w:rPr>
          <w:rFonts w:cs="Times New Roman"/>
        </w:rPr>
        <w:t xml:space="preserve">second </w:t>
      </w:r>
      <w:r w:rsidRPr="009D51B7">
        <w:rPr>
          <w:rFonts w:cs="Times New Roman"/>
        </w:rPr>
        <w:t xml:space="preserve">technical </w:t>
      </w:r>
      <w:r w:rsidR="00EE3A34">
        <w:rPr>
          <w:rFonts w:cs="Times New Roman"/>
        </w:rPr>
        <w:t>w</w:t>
      </w:r>
      <w:r w:rsidRPr="009D51B7">
        <w:rPr>
          <w:rFonts w:cs="Times New Roman"/>
        </w:rPr>
        <w:t>orkshop</w:t>
      </w:r>
      <w:r w:rsidR="00157C84" w:rsidRPr="009D51B7">
        <w:rPr>
          <w:rFonts w:cs="Times New Roman"/>
        </w:rPr>
        <w:t xml:space="preserve"> </w:t>
      </w:r>
      <w:r w:rsidR="00CF19E1">
        <w:rPr>
          <w:rFonts w:cs="Times New Roman"/>
        </w:rPr>
        <w:t xml:space="preserve">in </w:t>
      </w:r>
      <w:r w:rsidR="00157C84" w:rsidRPr="009D51B7">
        <w:rPr>
          <w:rFonts w:cs="Times New Roman"/>
        </w:rPr>
        <w:t>2017</w:t>
      </w:r>
      <w:r w:rsidR="00CF19E1">
        <w:rPr>
          <w:rFonts w:cs="Times New Roman"/>
        </w:rPr>
        <w:t xml:space="preserve"> </w:t>
      </w:r>
      <w:r w:rsidR="00157C84" w:rsidRPr="009D51B7">
        <w:rPr>
          <w:rFonts w:cs="Times New Roman"/>
        </w:rPr>
        <w:t>following upon the successful</w:t>
      </w:r>
      <w:r w:rsidR="002F45E9">
        <w:rPr>
          <w:rFonts w:cs="Times New Roman"/>
        </w:rPr>
        <w:t xml:space="preserve"> </w:t>
      </w:r>
      <w:r w:rsidR="00EE3A34">
        <w:rPr>
          <w:rFonts w:cs="Times New Roman"/>
        </w:rPr>
        <w:t>workshop</w:t>
      </w:r>
      <w:r w:rsidR="00157C84" w:rsidRPr="009D51B7">
        <w:rPr>
          <w:rFonts w:cs="Times New Roman"/>
        </w:rPr>
        <w:t xml:space="preserve"> held at the 2016 </w:t>
      </w:r>
      <w:r w:rsidR="00862E1B">
        <w:rPr>
          <w:rFonts w:cs="Times New Roman"/>
        </w:rPr>
        <w:t>IWTS</w:t>
      </w:r>
      <w:r w:rsidR="00157C84" w:rsidRPr="009D51B7">
        <w:rPr>
          <w:rFonts w:cs="Times New Roman"/>
        </w:rPr>
        <w:t xml:space="preserve">. </w:t>
      </w:r>
    </w:p>
    <w:p w14:paraId="63F6AD4D" w14:textId="77777777" w:rsidR="00157C84" w:rsidRPr="009D51B7" w:rsidRDefault="00157C84" w:rsidP="00C24F2D">
      <w:pPr>
        <w:ind w:left="720"/>
        <w:rPr>
          <w:rFonts w:cs="Times New Roman"/>
          <w:color w:val="7030A0"/>
        </w:rPr>
      </w:pPr>
    </w:p>
    <w:p w14:paraId="66C5FF46" w14:textId="7701C677" w:rsidR="002368CD" w:rsidRDefault="003B170D" w:rsidP="0018614F">
      <w:pPr>
        <w:rPr>
          <w:rFonts w:cs="Times New Roman"/>
        </w:rPr>
      </w:pPr>
      <w:r w:rsidRPr="009D51B7">
        <w:rPr>
          <w:rFonts w:cs="Times New Roman"/>
        </w:rPr>
        <w:t xml:space="preserve">The </w:t>
      </w:r>
      <w:r w:rsidR="000F7C9B" w:rsidRPr="009D51B7">
        <w:rPr>
          <w:rFonts w:cs="Times New Roman"/>
        </w:rPr>
        <w:t xml:space="preserve">Project Overseers </w:t>
      </w:r>
      <w:r w:rsidR="000E75C1" w:rsidRPr="009D51B7">
        <w:rPr>
          <w:rFonts w:cs="Times New Roman"/>
        </w:rPr>
        <w:t xml:space="preserve">appreciate the </w:t>
      </w:r>
      <w:r w:rsidR="0020478E" w:rsidRPr="009D51B7">
        <w:rPr>
          <w:rFonts w:cs="Times New Roman"/>
        </w:rPr>
        <w:t xml:space="preserve">efforts of our Canadian hosts as well as the </w:t>
      </w:r>
      <w:r w:rsidR="000E75C1" w:rsidRPr="009D51B7">
        <w:rPr>
          <w:rFonts w:cs="Times New Roman"/>
        </w:rPr>
        <w:t xml:space="preserve">active engagement and positive contributions made by </w:t>
      </w:r>
      <w:r w:rsidR="0020478E" w:rsidRPr="009D51B7">
        <w:rPr>
          <w:rFonts w:cs="Times New Roman"/>
        </w:rPr>
        <w:t xml:space="preserve">all </w:t>
      </w:r>
      <w:r w:rsidR="000E75C1" w:rsidRPr="009D51B7">
        <w:rPr>
          <w:rFonts w:cs="Times New Roman"/>
        </w:rPr>
        <w:t xml:space="preserve">WRF members </w:t>
      </w:r>
      <w:r w:rsidR="004D7E47" w:rsidRPr="009D51B7">
        <w:rPr>
          <w:rFonts w:cs="Times New Roman"/>
        </w:rPr>
        <w:t>participating</w:t>
      </w:r>
      <w:r w:rsidR="000E75C1" w:rsidRPr="009D51B7">
        <w:rPr>
          <w:rFonts w:cs="Times New Roman"/>
        </w:rPr>
        <w:t xml:space="preserve"> </w:t>
      </w:r>
      <w:r w:rsidR="0020478E" w:rsidRPr="009D51B7">
        <w:rPr>
          <w:rFonts w:cs="Times New Roman"/>
        </w:rPr>
        <w:t>in t</w:t>
      </w:r>
      <w:r w:rsidR="007D3FF4" w:rsidRPr="009D51B7">
        <w:rPr>
          <w:rFonts w:cs="Times New Roman"/>
        </w:rPr>
        <w:t xml:space="preserve">he </w:t>
      </w:r>
      <w:r w:rsidR="0020478E" w:rsidRPr="009D51B7">
        <w:rPr>
          <w:rFonts w:cs="Times New Roman"/>
        </w:rPr>
        <w:t xml:space="preserve">successful </w:t>
      </w:r>
      <w:r w:rsidR="007D3FF4" w:rsidRPr="009D51B7">
        <w:rPr>
          <w:rFonts w:cs="Times New Roman"/>
        </w:rPr>
        <w:t>2016 Ottawa Technical M</w:t>
      </w:r>
      <w:r w:rsidR="0020478E" w:rsidRPr="009D51B7">
        <w:rPr>
          <w:rFonts w:cs="Times New Roman"/>
        </w:rPr>
        <w:t>eeting</w:t>
      </w:r>
      <w:r w:rsidR="00DD5996">
        <w:rPr>
          <w:rFonts w:cs="Times New Roman"/>
        </w:rPr>
        <w:t xml:space="preserve"> and in intersessional discussions throughout the year</w:t>
      </w:r>
      <w:r w:rsidR="000F7C9B" w:rsidRPr="009D51B7">
        <w:rPr>
          <w:rFonts w:cs="Times New Roman"/>
        </w:rPr>
        <w:t xml:space="preserve">. </w:t>
      </w:r>
    </w:p>
    <w:p w14:paraId="39A9F7A3" w14:textId="77777777" w:rsidR="00512ECF" w:rsidRDefault="00512ECF" w:rsidP="0018614F">
      <w:pPr>
        <w:rPr>
          <w:rFonts w:cs="Times New Roman"/>
        </w:rPr>
      </w:pPr>
    </w:p>
    <w:p w14:paraId="13159E9C" w14:textId="77777777" w:rsidR="002F45E9" w:rsidRDefault="002F45E9" w:rsidP="0018614F">
      <w:pPr>
        <w:rPr>
          <w:rFonts w:cs="Times New Roman"/>
        </w:rPr>
      </w:pPr>
    </w:p>
    <w:p w14:paraId="4CE5B501" w14:textId="77777777" w:rsidR="00EE3A34" w:rsidRDefault="00512ECF" w:rsidP="0018614F">
      <w:pPr>
        <w:rPr>
          <w:rFonts w:cs="Times New Roman"/>
        </w:rPr>
      </w:pPr>
      <w:r>
        <w:rPr>
          <w:rFonts w:cs="Times New Roman"/>
        </w:rPr>
        <w:t xml:space="preserve">Ottawa, Canada </w:t>
      </w:r>
    </w:p>
    <w:p w14:paraId="1007BCFA" w14:textId="77777777" w:rsidR="00102CC8" w:rsidRDefault="00512ECF" w:rsidP="0018614F">
      <w:pPr>
        <w:rPr>
          <w:rFonts w:cs="Times New Roman"/>
        </w:rPr>
      </w:pPr>
      <w:r>
        <w:rPr>
          <w:rFonts w:cs="Times New Roman"/>
        </w:rPr>
        <w:t>October 7, 2016</w:t>
      </w:r>
      <w:r w:rsidR="00102CC8">
        <w:rPr>
          <w:rFonts w:cs="Times New Roman"/>
        </w:rPr>
        <w:t xml:space="preserve"> </w:t>
      </w:r>
    </w:p>
    <w:p w14:paraId="5B36E9B4" w14:textId="72DD6EA6" w:rsidR="00102CC8" w:rsidRPr="0009015F" w:rsidRDefault="0009015F" w:rsidP="0018614F">
      <w:pPr>
        <w:rPr>
          <w:rFonts w:cs="Times New Roman"/>
        </w:rPr>
      </w:pPr>
      <w:r w:rsidRPr="0009015F">
        <w:rPr>
          <w:rFonts w:cs="Times New Roman"/>
        </w:rPr>
        <w:t>Revised</w:t>
      </w:r>
      <w:r w:rsidR="00102CC8" w:rsidRPr="0009015F">
        <w:rPr>
          <w:rFonts w:cs="Times New Roman"/>
        </w:rPr>
        <w:t xml:space="preserve"> 11-2</w:t>
      </w:r>
      <w:r w:rsidR="00E523DF">
        <w:rPr>
          <w:rFonts w:cs="Times New Roman"/>
        </w:rPr>
        <w:t>1</w:t>
      </w:r>
      <w:r w:rsidR="00102CC8" w:rsidRPr="0009015F">
        <w:rPr>
          <w:rFonts w:cs="Times New Roman"/>
        </w:rPr>
        <w:t>-16</w:t>
      </w:r>
    </w:p>
    <w:sectPr w:rsidR="00102CC8" w:rsidRPr="0009015F" w:rsidSect="00995A6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00A72" w14:textId="77777777" w:rsidR="00D14F84" w:rsidRDefault="00D14F84" w:rsidP="00995A69">
      <w:r>
        <w:separator/>
      </w:r>
    </w:p>
  </w:endnote>
  <w:endnote w:type="continuationSeparator" w:id="0">
    <w:p w14:paraId="677E001B" w14:textId="77777777" w:rsidR="00D14F84" w:rsidRDefault="00D14F84" w:rsidP="0099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Lato-Regular">
    <w:altName w:val="Calibri"/>
    <w:panose1 w:val="00000000000000000000"/>
    <w:charset w:val="00"/>
    <w:family w:val="auto"/>
    <w:notTrueType/>
    <w:pitch w:val="default"/>
    <w:sig w:usb0="00000003" w:usb1="00000000" w:usb2="00000000" w:usb3="00000000" w:csb0="00000001" w:csb1="00000000"/>
  </w:font>
  <w:font w:name="Lato-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4C5F8" w14:textId="77777777" w:rsidR="00D14F84" w:rsidRDefault="00D14F84" w:rsidP="00995A69">
      <w:r>
        <w:separator/>
      </w:r>
    </w:p>
  </w:footnote>
  <w:footnote w:type="continuationSeparator" w:id="0">
    <w:p w14:paraId="307387A9" w14:textId="77777777" w:rsidR="00D14F84" w:rsidRDefault="00D14F84" w:rsidP="00995A69">
      <w:r>
        <w:continuationSeparator/>
      </w:r>
    </w:p>
  </w:footnote>
  <w:footnote w:id="1">
    <w:p w14:paraId="4CAF6A77" w14:textId="40A957BE" w:rsidR="004E7FFE" w:rsidRPr="000A7A45" w:rsidRDefault="004E7FFE" w:rsidP="000A7A45">
      <w:pPr>
        <w:rPr>
          <w:rFonts w:cs="Times New Roman"/>
          <w:sz w:val="18"/>
          <w:szCs w:val="18"/>
        </w:rPr>
      </w:pPr>
      <w:r w:rsidRPr="00A92A9F">
        <w:rPr>
          <w:rStyle w:val="FootnoteReference"/>
          <w:sz w:val="20"/>
          <w:szCs w:val="18"/>
        </w:rPr>
        <w:footnoteRef/>
      </w:r>
      <w:r w:rsidRPr="000A7A45">
        <w:rPr>
          <w:sz w:val="18"/>
          <w:szCs w:val="18"/>
        </w:rPr>
        <w:t xml:space="preserve"> </w:t>
      </w:r>
      <w:r w:rsidRPr="000A7A45">
        <w:rPr>
          <w:rFonts w:cs="Times New Roman"/>
          <w:sz w:val="18"/>
          <w:szCs w:val="18"/>
        </w:rPr>
        <w:t>The Ottawa meeting was the fourth of six annual technical conferences scheduled under the WRF multi‐year project entitled "</w:t>
      </w:r>
      <w:r w:rsidRPr="000A7A45">
        <w:rPr>
          <w:i/>
          <w:iCs/>
          <w:color w:val="000000"/>
          <w:sz w:val="18"/>
          <w:szCs w:val="18"/>
          <w:bdr w:val="none" w:sz="0" w:space="0" w:color="auto" w:frame="1"/>
          <w:shd w:val="clear" w:color="auto" w:fill="FFFFFF"/>
        </w:rPr>
        <w:t>Good Regulatory Practices Action Plan</w:t>
      </w:r>
      <w:r w:rsidRPr="000A7A45">
        <w:rPr>
          <w:rFonts w:cs="Times New Roman"/>
          <w:sz w:val="18"/>
          <w:szCs w:val="18"/>
        </w:rPr>
        <w:t xml:space="preserve">" sponsored by </w:t>
      </w:r>
      <w:r w:rsidRPr="000A7A45">
        <w:rPr>
          <w:sz w:val="18"/>
          <w:szCs w:val="18"/>
        </w:rPr>
        <w:t xml:space="preserve">Australia, Canada, Chile, Chinese Taipei, Indonesia, </w:t>
      </w:r>
      <w:r w:rsidR="00B41A06">
        <w:rPr>
          <w:sz w:val="18"/>
          <w:szCs w:val="18"/>
        </w:rPr>
        <w:t xml:space="preserve">Republic of </w:t>
      </w:r>
      <w:r w:rsidRPr="000A7A45">
        <w:rPr>
          <w:sz w:val="18"/>
          <w:szCs w:val="18"/>
        </w:rPr>
        <w:t>Korea, Mexico, New Zealand, Papua New Guinea, Peru, Russia, United States and Viet</w:t>
      </w:r>
      <w:r>
        <w:rPr>
          <w:sz w:val="18"/>
          <w:szCs w:val="18"/>
        </w:rPr>
        <w:t xml:space="preserve"> N</w:t>
      </w:r>
      <w:r w:rsidRPr="000A7A45">
        <w:rPr>
          <w:sz w:val="18"/>
          <w:szCs w:val="18"/>
        </w:rPr>
        <w:t>am (M CTI 01 2013A)</w:t>
      </w:r>
      <w:r w:rsidRPr="000A7A45">
        <w:rPr>
          <w:rFonts w:cs="Times New Roman"/>
          <w:sz w:val="18"/>
          <w:szCs w:val="18"/>
        </w:rPr>
        <w:t xml:space="preserve">. </w:t>
      </w:r>
    </w:p>
    <w:p w14:paraId="16585706" w14:textId="1FCE696E" w:rsidR="004E7FFE" w:rsidRDefault="004E7FFE">
      <w:pPr>
        <w:pStyle w:val="FootnoteText"/>
      </w:pPr>
    </w:p>
  </w:footnote>
  <w:footnote w:id="2">
    <w:p w14:paraId="3E86DAC4" w14:textId="6595F668" w:rsidR="004E7FFE" w:rsidRDefault="004E7FFE">
      <w:pPr>
        <w:pStyle w:val="FootnoteText"/>
      </w:pPr>
      <w:r>
        <w:rPr>
          <w:rStyle w:val="FootnoteReference"/>
        </w:rPr>
        <w:footnoteRef/>
      </w:r>
      <w:r>
        <w:t xml:space="preserve"> JECFA- Codex Alimentarius Joint Expert Committee on Food Additives</w:t>
      </w:r>
    </w:p>
  </w:footnote>
  <w:footnote w:id="3">
    <w:p w14:paraId="5B936BF2" w14:textId="4E8ADA48" w:rsidR="004E7FFE" w:rsidRDefault="004E7FFE">
      <w:pPr>
        <w:pStyle w:val="FootnoteText"/>
      </w:pPr>
      <w:r>
        <w:rPr>
          <w:rStyle w:val="FootnoteReference"/>
        </w:rPr>
        <w:footnoteRef/>
      </w:r>
      <w:r>
        <w:t xml:space="preserve"> Coming soon at </w:t>
      </w:r>
      <w:hyperlink r:id="rId1" w:history="1">
        <w:r w:rsidRPr="006E3F36">
          <w:rPr>
            <w:rStyle w:val="Hyperlink"/>
          </w:rPr>
          <w:t>www.fivs-apace.com</w:t>
        </w:r>
      </w:hyperlink>
      <w:r>
        <w:t xml:space="preserve"> </w:t>
      </w:r>
    </w:p>
  </w:footnote>
  <w:footnote w:id="4">
    <w:p w14:paraId="32F15394" w14:textId="28298ABF" w:rsidR="004E7FFE" w:rsidRDefault="004E7FFE">
      <w:pPr>
        <w:pStyle w:val="FootnoteText"/>
      </w:pPr>
      <w:r>
        <w:rPr>
          <w:rStyle w:val="FootnoteReference"/>
        </w:rPr>
        <w:footnoteRef/>
      </w:r>
      <w:r>
        <w:t xml:space="preserve"> </w:t>
      </w:r>
      <w:r w:rsidR="00442D08" w:rsidRPr="00442D08">
        <w:t>Report of the Forty-Eighth Session of the Codex Committee on Food Additives</w:t>
      </w:r>
    </w:p>
  </w:footnote>
  <w:footnote w:id="5">
    <w:p w14:paraId="390D86D2" w14:textId="2054AD70" w:rsidR="004E7FFE" w:rsidRDefault="004E7FFE">
      <w:pPr>
        <w:pStyle w:val="FootnoteText"/>
      </w:pPr>
      <w:r>
        <w:rPr>
          <w:rStyle w:val="FootnoteReference"/>
        </w:rPr>
        <w:footnoteRef/>
      </w:r>
      <w:r>
        <w:t xml:space="preserve"> See </w:t>
      </w:r>
      <w:hyperlink r:id="rId2" w:history="1">
        <w:r w:rsidRPr="003236DF">
          <w:rPr>
            <w:rStyle w:val="Hyperlink"/>
          </w:rPr>
          <w:t>http://www.apec.org/Press/News-Releases/2016/0707_wine.aspx</w:t>
        </w:r>
      </w:hyperlink>
      <w:r>
        <w:t>.  The Model Certificate is available on the APEC WRF website and in FIVS-Abridge.</w:t>
      </w:r>
    </w:p>
  </w:footnote>
  <w:footnote w:id="6">
    <w:p w14:paraId="061C3E48" w14:textId="6AAF3D91" w:rsidR="004E7FFE" w:rsidRDefault="004E7FFE">
      <w:pPr>
        <w:pStyle w:val="FootnoteText"/>
      </w:pPr>
      <w:r>
        <w:rPr>
          <w:rStyle w:val="FootnoteReference"/>
        </w:rPr>
        <w:footnoteRef/>
      </w:r>
      <w:r>
        <w:t xml:space="preserve"> </w:t>
      </w:r>
      <w:r w:rsidRPr="008A40BB">
        <w:rPr>
          <w:rFonts w:cs="Times New Roman"/>
        </w:rPr>
        <w:t>The International Wine Technical Summit (Summit) is a collaborative group of government and industry representatives who have an understanding of the technical issues surrounding wine production and trade.</w:t>
      </w:r>
    </w:p>
  </w:footnote>
  <w:footnote w:id="7">
    <w:p w14:paraId="7DDD7A7A" w14:textId="5B304D6E" w:rsidR="004E7FFE" w:rsidRDefault="004E7FFE">
      <w:pPr>
        <w:pStyle w:val="FootnoteText"/>
      </w:pPr>
      <w:r>
        <w:rPr>
          <w:rStyle w:val="FootnoteReference"/>
        </w:rPr>
        <w:footnoteRef/>
      </w:r>
      <w:r>
        <w:t xml:space="preserve"> The papers are available on the APEC WRF website. </w:t>
      </w:r>
    </w:p>
  </w:footnote>
  <w:footnote w:id="8">
    <w:p w14:paraId="501DD3EF" w14:textId="28BEC11F" w:rsidR="00081F63" w:rsidRDefault="00081F63">
      <w:pPr>
        <w:pStyle w:val="FootnoteText"/>
      </w:pPr>
      <w:r>
        <w:rPr>
          <w:rStyle w:val="FootnoteReference"/>
        </w:rPr>
        <w:footnoteRef/>
      </w:r>
      <w:r>
        <w:t xml:space="preserve"> </w:t>
      </w:r>
      <w:r w:rsidRPr="00081F63">
        <w:t>http://apec.org/Meeting-Papers/Sectoral-Ministerial-Meetings/Trade/2016_trade.aspx</w:t>
      </w:r>
    </w:p>
  </w:footnote>
  <w:footnote w:id="9">
    <w:p w14:paraId="4B28B213" w14:textId="5E092700" w:rsidR="00ED6E0D" w:rsidRDefault="00ED6E0D">
      <w:pPr>
        <w:pStyle w:val="FootnoteText"/>
      </w:pPr>
      <w:r>
        <w:rPr>
          <w:rStyle w:val="FootnoteReference"/>
        </w:rPr>
        <w:footnoteRef/>
      </w:r>
      <w:r>
        <w:t xml:space="preserve"> </w:t>
      </w:r>
      <w:r w:rsidRPr="00ED6E0D">
        <w:t>http://mddb.apec.org/Documents/2016/MM/AMM/16_amm_jms.pdf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2B39" w14:textId="5B3EBFD6" w:rsidR="004E7FFE" w:rsidRDefault="004E7FFE" w:rsidP="00995A6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15B4"/>
    <w:multiLevelType w:val="hybridMultilevel"/>
    <w:tmpl w:val="CC58C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C32A3"/>
    <w:multiLevelType w:val="hybridMultilevel"/>
    <w:tmpl w:val="E1CC0EB0"/>
    <w:lvl w:ilvl="0" w:tplc="76CCD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82B11"/>
    <w:multiLevelType w:val="hybridMultilevel"/>
    <w:tmpl w:val="CBAC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11008"/>
    <w:multiLevelType w:val="hybridMultilevel"/>
    <w:tmpl w:val="8320D506"/>
    <w:lvl w:ilvl="0" w:tplc="EB4A2B0C">
      <w:start w:val="4"/>
      <w:numFmt w:val="decimal"/>
      <w:lvlText w:val="%1."/>
      <w:lvlJc w:val="left"/>
      <w:pPr>
        <w:tabs>
          <w:tab w:val="num" w:pos="720"/>
        </w:tabs>
        <w:ind w:left="720" w:hanging="360"/>
      </w:pPr>
    </w:lvl>
    <w:lvl w:ilvl="1" w:tplc="BF56BDCC" w:tentative="1">
      <w:start w:val="1"/>
      <w:numFmt w:val="decimal"/>
      <w:lvlText w:val="%2."/>
      <w:lvlJc w:val="left"/>
      <w:pPr>
        <w:tabs>
          <w:tab w:val="num" w:pos="1440"/>
        </w:tabs>
        <w:ind w:left="1440" w:hanging="360"/>
      </w:pPr>
    </w:lvl>
    <w:lvl w:ilvl="2" w:tplc="B8E24B14" w:tentative="1">
      <w:start w:val="1"/>
      <w:numFmt w:val="decimal"/>
      <w:lvlText w:val="%3."/>
      <w:lvlJc w:val="left"/>
      <w:pPr>
        <w:tabs>
          <w:tab w:val="num" w:pos="2160"/>
        </w:tabs>
        <w:ind w:left="2160" w:hanging="360"/>
      </w:pPr>
    </w:lvl>
    <w:lvl w:ilvl="3" w:tplc="BD0E3A96">
      <w:start w:val="106"/>
      <w:numFmt w:val="bullet"/>
      <w:lvlText w:val="▪"/>
      <w:lvlJc w:val="left"/>
      <w:pPr>
        <w:tabs>
          <w:tab w:val="num" w:pos="2880"/>
        </w:tabs>
        <w:ind w:left="2880" w:hanging="360"/>
      </w:pPr>
      <w:rPr>
        <w:rFonts w:ascii="Arial" w:hAnsi="Arial" w:hint="default"/>
      </w:rPr>
    </w:lvl>
    <w:lvl w:ilvl="4" w:tplc="0C243852" w:tentative="1">
      <w:start w:val="1"/>
      <w:numFmt w:val="decimal"/>
      <w:lvlText w:val="%5."/>
      <w:lvlJc w:val="left"/>
      <w:pPr>
        <w:tabs>
          <w:tab w:val="num" w:pos="3600"/>
        </w:tabs>
        <w:ind w:left="3600" w:hanging="360"/>
      </w:pPr>
    </w:lvl>
    <w:lvl w:ilvl="5" w:tplc="1B364CA0" w:tentative="1">
      <w:start w:val="1"/>
      <w:numFmt w:val="decimal"/>
      <w:lvlText w:val="%6."/>
      <w:lvlJc w:val="left"/>
      <w:pPr>
        <w:tabs>
          <w:tab w:val="num" w:pos="4320"/>
        </w:tabs>
        <w:ind w:left="4320" w:hanging="360"/>
      </w:pPr>
    </w:lvl>
    <w:lvl w:ilvl="6" w:tplc="FCD2A14A" w:tentative="1">
      <w:start w:val="1"/>
      <w:numFmt w:val="decimal"/>
      <w:lvlText w:val="%7."/>
      <w:lvlJc w:val="left"/>
      <w:pPr>
        <w:tabs>
          <w:tab w:val="num" w:pos="5040"/>
        </w:tabs>
        <w:ind w:left="5040" w:hanging="360"/>
      </w:pPr>
    </w:lvl>
    <w:lvl w:ilvl="7" w:tplc="321A709C" w:tentative="1">
      <w:start w:val="1"/>
      <w:numFmt w:val="decimal"/>
      <w:lvlText w:val="%8."/>
      <w:lvlJc w:val="left"/>
      <w:pPr>
        <w:tabs>
          <w:tab w:val="num" w:pos="5760"/>
        </w:tabs>
        <w:ind w:left="5760" w:hanging="360"/>
      </w:pPr>
    </w:lvl>
    <w:lvl w:ilvl="8" w:tplc="847E3EC2" w:tentative="1">
      <w:start w:val="1"/>
      <w:numFmt w:val="decimal"/>
      <w:lvlText w:val="%9."/>
      <w:lvlJc w:val="left"/>
      <w:pPr>
        <w:tabs>
          <w:tab w:val="num" w:pos="6480"/>
        </w:tabs>
        <w:ind w:left="6480" w:hanging="360"/>
      </w:pPr>
    </w:lvl>
  </w:abstractNum>
  <w:abstractNum w:abstractNumId="4" w15:restartNumberingAfterBreak="0">
    <w:nsid w:val="170A1E9B"/>
    <w:multiLevelType w:val="multilevel"/>
    <w:tmpl w:val="AE86E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3C4E25"/>
    <w:multiLevelType w:val="multilevel"/>
    <w:tmpl w:val="68585A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63884"/>
    <w:multiLevelType w:val="hybridMultilevel"/>
    <w:tmpl w:val="D15AF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46106"/>
    <w:multiLevelType w:val="multilevel"/>
    <w:tmpl w:val="FF7C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E5A65"/>
    <w:multiLevelType w:val="multilevel"/>
    <w:tmpl w:val="606E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3513F"/>
    <w:multiLevelType w:val="hybridMultilevel"/>
    <w:tmpl w:val="37FE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63581"/>
    <w:multiLevelType w:val="hybridMultilevel"/>
    <w:tmpl w:val="CA408C86"/>
    <w:lvl w:ilvl="0" w:tplc="98F6C43A">
      <w:start w:val="1"/>
      <w:numFmt w:val="bullet"/>
      <w:lvlText w:val="•"/>
      <w:lvlJc w:val="left"/>
      <w:pPr>
        <w:tabs>
          <w:tab w:val="num" w:pos="720"/>
        </w:tabs>
        <w:ind w:left="720" w:hanging="360"/>
      </w:pPr>
      <w:rPr>
        <w:rFonts w:ascii="Arial" w:hAnsi="Arial" w:hint="default"/>
      </w:rPr>
    </w:lvl>
    <w:lvl w:ilvl="1" w:tplc="5C5CB362" w:tentative="1">
      <w:start w:val="1"/>
      <w:numFmt w:val="bullet"/>
      <w:lvlText w:val="•"/>
      <w:lvlJc w:val="left"/>
      <w:pPr>
        <w:tabs>
          <w:tab w:val="num" w:pos="1440"/>
        </w:tabs>
        <w:ind w:left="1440" w:hanging="360"/>
      </w:pPr>
      <w:rPr>
        <w:rFonts w:ascii="Arial" w:hAnsi="Arial" w:hint="default"/>
      </w:rPr>
    </w:lvl>
    <w:lvl w:ilvl="2" w:tplc="595C8B44" w:tentative="1">
      <w:start w:val="1"/>
      <w:numFmt w:val="bullet"/>
      <w:lvlText w:val="•"/>
      <w:lvlJc w:val="left"/>
      <w:pPr>
        <w:tabs>
          <w:tab w:val="num" w:pos="2160"/>
        </w:tabs>
        <w:ind w:left="2160" w:hanging="360"/>
      </w:pPr>
      <w:rPr>
        <w:rFonts w:ascii="Arial" w:hAnsi="Arial" w:hint="default"/>
      </w:rPr>
    </w:lvl>
    <w:lvl w:ilvl="3" w:tplc="3B3A876C" w:tentative="1">
      <w:start w:val="1"/>
      <w:numFmt w:val="bullet"/>
      <w:lvlText w:val="•"/>
      <w:lvlJc w:val="left"/>
      <w:pPr>
        <w:tabs>
          <w:tab w:val="num" w:pos="2880"/>
        </w:tabs>
        <w:ind w:left="2880" w:hanging="360"/>
      </w:pPr>
      <w:rPr>
        <w:rFonts w:ascii="Arial" w:hAnsi="Arial" w:hint="default"/>
      </w:rPr>
    </w:lvl>
    <w:lvl w:ilvl="4" w:tplc="C480D596" w:tentative="1">
      <w:start w:val="1"/>
      <w:numFmt w:val="bullet"/>
      <w:lvlText w:val="•"/>
      <w:lvlJc w:val="left"/>
      <w:pPr>
        <w:tabs>
          <w:tab w:val="num" w:pos="3600"/>
        </w:tabs>
        <w:ind w:left="3600" w:hanging="360"/>
      </w:pPr>
      <w:rPr>
        <w:rFonts w:ascii="Arial" w:hAnsi="Arial" w:hint="default"/>
      </w:rPr>
    </w:lvl>
    <w:lvl w:ilvl="5" w:tplc="823CDDDA" w:tentative="1">
      <w:start w:val="1"/>
      <w:numFmt w:val="bullet"/>
      <w:lvlText w:val="•"/>
      <w:lvlJc w:val="left"/>
      <w:pPr>
        <w:tabs>
          <w:tab w:val="num" w:pos="4320"/>
        </w:tabs>
        <w:ind w:left="4320" w:hanging="360"/>
      </w:pPr>
      <w:rPr>
        <w:rFonts w:ascii="Arial" w:hAnsi="Arial" w:hint="default"/>
      </w:rPr>
    </w:lvl>
    <w:lvl w:ilvl="6" w:tplc="B5E0D220" w:tentative="1">
      <w:start w:val="1"/>
      <w:numFmt w:val="bullet"/>
      <w:lvlText w:val="•"/>
      <w:lvlJc w:val="left"/>
      <w:pPr>
        <w:tabs>
          <w:tab w:val="num" w:pos="5040"/>
        </w:tabs>
        <w:ind w:left="5040" w:hanging="360"/>
      </w:pPr>
      <w:rPr>
        <w:rFonts w:ascii="Arial" w:hAnsi="Arial" w:hint="default"/>
      </w:rPr>
    </w:lvl>
    <w:lvl w:ilvl="7" w:tplc="948C6952" w:tentative="1">
      <w:start w:val="1"/>
      <w:numFmt w:val="bullet"/>
      <w:lvlText w:val="•"/>
      <w:lvlJc w:val="left"/>
      <w:pPr>
        <w:tabs>
          <w:tab w:val="num" w:pos="5760"/>
        </w:tabs>
        <w:ind w:left="5760" w:hanging="360"/>
      </w:pPr>
      <w:rPr>
        <w:rFonts w:ascii="Arial" w:hAnsi="Arial" w:hint="default"/>
      </w:rPr>
    </w:lvl>
    <w:lvl w:ilvl="8" w:tplc="FAA432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D5329E"/>
    <w:multiLevelType w:val="hybridMultilevel"/>
    <w:tmpl w:val="766A6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C6E2C"/>
    <w:multiLevelType w:val="hybridMultilevel"/>
    <w:tmpl w:val="7DE40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76859"/>
    <w:multiLevelType w:val="hybridMultilevel"/>
    <w:tmpl w:val="EB7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93224"/>
    <w:multiLevelType w:val="multilevel"/>
    <w:tmpl w:val="83223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D3CFB"/>
    <w:multiLevelType w:val="hybridMultilevel"/>
    <w:tmpl w:val="B8ECE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878F2"/>
    <w:multiLevelType w:val="hybridMultilevel"/>
    <w:tmpl w:val="EA08C41E"/>
    <w:lvl w:ilvl="0" w:tplc="F80A5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D07D8"/>
    <w:multiLevelType w:val="hybridMultilevel"/>
    <w:tmpl w:val="0E16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334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F4258C"/>
    <w:multiLevelType w:val="hybridMultilevel"/>
    <w:tmpl w:val="3CF4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15E83"/>
    <w:multiLevelType w:val="hybridMultilevel"/>
    <w:tmpl w:val="0936A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BB68FD"/>
    <w:multiLevelType w:val="hybridMultilevel"/>
    <w:tmpl w:val="7DF0C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DE2927"/>
    <w:multiLevelType w:val="hybridMultilevel"/>
    <w:tmpl w:val="7F00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4782E"/>
    <w:multiLevelType w:val="multilevel"/>
    <w:tmpl w:val="8B0E2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077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5550335"/>
    <w:multiLevelType w:val="hybridMultilevel"/>
    <w:tmpl w:val="54EAE57E"/>
    <w:lvl w:ilvl="0" w:tplc="CCF6AF98">
      <w:start w:val="1"/>
      <w:numFmt w:val="decimal"/>
      <w:lvlText w:val="%1."/>
      <w:lvlJc w:val="left"/>
      <w:pPr>
        <w:tabs>
          <w:tab w:val="num" w:pos="720"/>
        </w:tabs>
        <w:ind w:left="720" w:hanging="360"/>
      </w:pPr>
    </w:lvl>
    <w:lvl w:ilvl="1" w:tplc="C63A4E26" w:tentative="1">
      <w:start w:val="1"/>
      <w:numFmt w:val="decimal"/>
      <w:lvlText w:val="%2."/>
      <w:lvlJc w:val="left"/>
      <w:pPr>
        <w:tabs>
          <w:tab w:val="num" w:pos="1440"/>
        </w:tabs>
        <w:ind w:left="1440" w:hanging="360"/>
      </w:pPr>
    </w:lvl>
    <w:lvl w:ilvl="2" w:tplc="6FAC85BC" w:tentative="1">
      <w:start w:val="1"/>
      <w:numFmt w:val="decimal"/>
      <w:lvlText w:val="%3."/>
      <w:lvlJc w:val="left"/>
      <w:pPr>
        <w:tabs>
          <w:tab w:val="num" w:pos="2160"/>
        </w:tabs>
        <w:ind w:left="2160" w:hanging="360"/>
      </w:pPr>
    </w:lvl>
    <w:lvl w:ilvl="3" w:tplc="E786ADF8" w:tentative="1">
      <w:start w:val="1"/>
      <w:numFmt w:val="decimal"/>
      <w:lvlText w:val="%4."/>
      <w:lvlJc w:val="left"/>
      <w:pPr>
        <w:tabs>
          <w:tab w:val="num" w:pos="2880"/>
        </w:tabs>
        <w:ind w:left="2880" w:hanging="360"/>
      </w:pPr>
    </w:lvl>
    <w:lvl w:ilvl="4" w:tplc="6E644B4C" w:tentative="1">
      <w:start w:val="1"/>
      <w:numFmt w:val="decimal"/>
      <w:lvlText w:val="%5."/>
      <w:lvlJc w:val="left"/>
      <w:pPr>
        <w:tabs>
          <w:tab w:val="num" w:pos="3600"/>
        </w:tabs>
        <w:ind w:left="3600" w:hanging="360"/>
      </w:pPr>
    </w:lvl>
    <w:lvl w:ilvl="5" w:tplc="1444F9E4" w:tentative="1">
      <w:start w:val="1"/>
      <w:numFmt w:val="decimal"/>
      <w:lvlText w:val="%6."/>
      <w:lvlJc w:val="left"/>
      <w:pPr>
        <w:tabs>
          <w:tab w:val="num" w:pos="4320"/>
        </w:tabs>
        <w:ind w:left="4320" w:hanging="360"/>
      </w:pPr>
    </w:lvl>
    <w:lvl w:ilvl="6" w:tplc="4E7A3644" w:tentative="1">
      <w:start w:val="1"/>
      <w:numFmt w:val="decimal"/>
      <w:lvlText w:val="%7."/>
      <w:lvlJc w:val="left"/>
      <w:pPr>
        <w:tabs>
          <w:tab w:val="num" w:pos="5040"/>
        </w:tabs>
        <w:ind w:left="5040" w:hanging="360"/>
      </w:pPr>
    </w:lvl>
    <w:lvl w:ilvl="7" w:tplc="55B0AB0C" w:tentative="1">
      <w:start w:val="1"/>
      <w:numFmt w:val="decimal"/>
      <w:lvlText w:val="%8."/>
      <w:lvlJc w:val="left"/>
      <w:pPr>
        <w:tabs>
          <w:tab w:val="num" w:pos="5760"/>
        </w:tabs>
        <w:ind w:left="5760" w:hanging="360"/>
      </w:pPr>
    </w:lvl>
    <w:lvl w:ilvl="8" w:tplc="74F426E0" w:tentative="1">
      <w:start w:val="1"/>
      <w:numFmt w:val="decimal"/>
      <w:lvlText w:val="%9."/>
      <w:lvlJc w:val="left"/>
      <w:pPr>
        <w:tabs>
          <w:tab w:val="num" w:pos="6480"/>
        </w:tabs>
        <w:ind w:left="6480" w:hanging="360"/>
      </w:pPr>
    </w:lvl>
  </w:abstractNum>
  <w:abstractNum w:abstractNumId="26" w15:restartNumberingAfterBreak="0">
    <w:nsid w:val="7F006FC8"/>
    <w:multiLevelType w:val="multilevel"/>
    <w:tmpl w:val="154AFF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6"/>
  </w:num>
  <w:num w:numId="3">
    <w:abstractNumId w:val="7"/>
  </w:num>
  <w:num w:numId="4">
    <w:abstractNumId w:val="5"/>
  </w:num>
  <w:num w:numId="5">
    <w:abstractNumId w:val="8"/>
  </w:num>
  <w:num w:numId="6">
    <w:abstractNumId w:val="4"/>
  </w:num>
  <w:num w:numId="7">
    <w:abstractNumId w:val="9"/>
  </w:num>
  <w:num w:numId="8">
    <w:abstractNumId w:val="6"/>
  </w:num>
  <w:num w:numId="9">
    <w:abstractNumId w:val="10"/>
  </w:num>
  <w:num w:numId="10">
    <w:abstractNumId w:val="13"/>
  </w:num>
  <w:num w:numId="11">
    <w:abstractNumId w:val="21"/>
  </w:num>
  <w:num w:numId="12">
    <w:abstractNumId w:val="19"/>
  </w:num>
  <w:num w:numId="13">
    <w:abstractNumId w:val="2"/>
  </w:num>
  <w:num w:numId="14">
    <w:abstractNumId w:val="11"/>
  </w:num>
  <w:num w:numId="15">
    <w:abstractNumId w:val="15"/>
  </w:num>
  <w:num w:numId="16">
    <w:abstractNumId w:val="14"/>
  </w:num>
  <w:num w:numId="17">
    <w:abstractNumId w:val="20"/>
  </w:num>
  <w:num w:numId="18">
    <w:abstractNumId w:val="17"/>
  </w:num>
  <w:num w:numId="19">
    <w:abstractNumId w:val="22"/>
  </w:num>
  <w:num w:numId="20">
    <w:abstractNumId w:val="0"/>
  </w:num>
  <w:num w:numId="21">
    <w:abstractNumId w:val="25"/>
  </w:num>
  <w:num w:numId="22">
    <w:abstractNumId w:val="3"/>
  </w:num>
  <w:num w:numId="23">
    <w:abstractNumId w:val="12"/>
  </w:num>
  <w:num w:numId="24">
    <w:abstractNumId w:val="16"/>
  </w:num>
  <w:num w:numId="25">
    <w:abstractNumId w:val="1"/>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9B"/>
    <w:rsid w:val="000106E0"/>
    <w:rsid w:val="00012917"/>
    <w:rsid w:val="00012BA9"/>
    <w:rsid w:val="00016681"/>
    <w:rsid w:val="00023C92"/>
    <w:rsid w:val="00024401"/>
    <w:rsid w:val="00040B87"/>
    <w:rsid w:val="00044B36"/>
    <w:rsid w:val="000673A8"/>
    <w:rsid w:val="0007464B"/>
    <w:rsid w:val="00081F63"/>
    <w:rsid w:val="00085F7B"/>
    <w:rsid w:val="0009015F"/>
    <w:rsid w:val="000A0034"/>
    <w:rsid w:val="000A3AC0"/>
    <w:rsid w:val="000A5127"/>
    <w:rsid w:val="000A7A45"/>
    <w:rsid w:val="000C0B94"/>
    <w:rsid w:val="000E75C1"/>
    <w:rsid w:val="000F0AC6"/>
    <w:rsid w:val="000F7C9B"/>
    <w:rsid w:val="00102A1C"/>
    <w:rsid w:val="00102CC8"/>
    <w:rsid w:val="00125EA0"/>
    <w:rsid w:val="00157C84"/>
    <w:rsid w:val="0017794F"/>
    <w:rsid w:val="0018070C"/>
    <w:rsid w:val="00182313"/>
    <w:rsid w:val="00185C5D"/>
    <w:rsid w:val="0018614F"/>
    <w:rsid w:val="001A3F85"/>
    <w:rsid w:val="001C26AB"/>
    <w:rsid w:val="001E2390"/>
    <w:rsid w:val="001E7C6A"/>
    <w:rsid w:val="001F209A"/>
    <w:rsid w:val="0020478E"/>
    <w:rsid w:val="00225DF0"/>
    <w:rsid w:val="00231D3E"/>
    <w:rsid w:val="002368CD"/>
    <w:rsid w:val="00241FEC"/>
    <w:rsid w:val="00252596"/>
    <w:rsid w:val="00255CDD"/>
    <w:rsid w:val="00272AED"/>
    <w:rsid w:val="00282D5F"/>
    <w:rsid w:val="00287948"/>
    <w:rsid w:val="00297CB9"/>
    <w:rsid w:val="002A073C"/>
    <w:rsid w:val="002C0CCF"/>
    <w:rsid w:val="002C1424"/>
    <w:rsid w:val="002E2B82"/>
    <w:rsid w:val="002F45E9"/>
    <w:rsid w:val="002F4A72"/>
    <w:rsid w:val="002F617D"/>
    <w:rsid w:val="00314887"/>
    <w:rsid w:val="003149D1"/>
    <w:rsid w:val="003268C4"/>
    <w:rsid w:val="00355C11"/>
    <w:rsid w:val="00360F14"/>
    <w:rsid w:val="00362697"/>
    <w:rsid w:val="003626AC"/>
    <w:rsid w:val="0037375F"/>
    <w:rsid w:val="0037671D"/>
    <w:rsid w:val="0038055A"/>
    <w:rsid w:val="003831A3"/>
    <w:rsid w:val="003B1010"/>
    <w:rsid w:val="003B170D"/>
    <w:rsid w:val="003D58AD"/>
    <w:rsid w:val="003E12D4"/>
    <w:rsid w:val="003E6374"/>
    <w:rsid w:val="004017FB"/>
    <w:rsid w:val="00405E46"/>
    <w:rsid w:val="00412029"/>
    <w:rsid w:val="00423B34"/>
    <w:rsid w:val="00424033"/>
    <w:rsid w:val="00424889"/>
    <w:rsid w:val="004326AC"/>
    <w:rsid w:val="00436EEF"/>
    <w:rsid w:val="00442D08"/>
    <w:rsid w:val="00443831"/>
    <w:rsid w:val="00444775"/>
    <w:rsid w:val="004469EB"/>
    <w:rsid w:val="00465485"/>
    <w:rsid w:val="0048207C"/>
    <w:rsid w:val="0048404E"/>
    <w:rsid w:val="00493F92"/>
    <w:rsid w:val="004B0FB8"/>
    <w:rsid w:val="004D406E"/>
    <w:rsid w:val="004D7E47"/>
    <w:rsid w:val="004E7FFE"/>
    <w:rsid w:val="004F6B76"/>
    <w:rsid w:val="00505246"/>
    <w:rsid w:val="00507350"/>
    <w:rsid w:val="0051109D"/>
    <w:rsid w:val="00512ECF"/>
    <w:rsid w:val="00514235"/>
    <w:rsid w:val="00514752"/>
    <w:rsid w:val="00517295"/>
    <w:rsid w:val="00535DE7"/>
    <w:rsid w:val="00544A19"/>
    <w:rsid w:val="00547AE9"/>
    <w:rsid w:val="005718B8"/>
    <w:rsid w:val="00572E97"/>
    <w:rsid w:val="00573FCF"/>
    <w:rsid w:val="00581A48"/>
    <w:rsid w:val="00596E0B"/>
    <w:rsid w:val="005B2141"/>
    <w:rsid w:val="005C0AD3"/>
    <w:rsid w:val="005C0F8F"/>
    <w:rsid w:val="005C7132"/>
    <w:rsid w:val="00602C62"/>
    <w:rsid w:val="0061032D"/>
    <w:rsid w:val="00612C22"/>
    <w:rsid w:val="00657D15"/>
    <w:rsid w:val="00674466"/>
    <w:rsid w:val="006A485F"/>
    <w:rsid w:val="006B06F7"/>
    <w:rsid w:val="006B4BFD"/>
    <w:rsid w:val="006C0E0F"/>
    <w:rsid w:val="006C3053"/>
    <w:rsid w:val="006C6BA7"/>
    <w:rsid w:val="006D79A7"/>
    <w:rsid w:val="006E58C4"/>
    <w:rsid w:val="006F756E"/>
    <w:rsid w:val="00703F1B"/>
    <w:rsid w:val="007047AA"/>
    <w:rsid w:val="00705B50"/>
    <w:rsid w:val="007112B5"/>
    <w:rsid w:val="00724554"/>
    <w:rsid w:val="00754D70"/>
    <w:rsid w:val="0076144B"/>
    <w:rsid w:val="007665A8"/>
    <w:rsid w:val="00782CAC"/>
    <w:rsid w:val="00787B02"/>
    <w:rsid w:val="007C5DD5"/>
    <w:rsid w:val="007D1887"/>
    <w:rsid w:val="007D3FF4"/>
    <w:rsid w:val="00801752"/>
    <w:rsid w:val="00803825"/>
    <w:rsid w:val="008104FD"/>
    <w:rsid w:val="008430F3"/>
    <w:rsid w:val="00843E30"/>
    <w:rsid w:val="008576E2"/>
    <w:rsid w:val="00861272"/>
    <w:rsid w:val="00862E1B"/>
    <w:rsid w:val="00864F74"/>
    <w:rsid w:val="00866556"/>
    <w:rsid w:val="00871C5E"/>
    <w:rsid w:val="00884E4C"/>
    <w:rsid w:val="00886542"/>
    <w:rsid w:val="008A309C"/>
    <w:rsid w:val="008A40BB"/>
    <w:rsid w:val="008A7891"/>
    <w:rsid w:val="008B2216"/>
    <w:rsid w:val="008B3B9D"/>
    <w:rsid w:val="008C1A83"/>
    <w:rsid w:val="008C2AB4"/>
    <w:rsid w:val="008C74EC"/>
    <w:rsid w:val="008C7CAC"/>
    <w:rsid w:val="008F3475"/>
    <w:rsid w:val="009012A7"/>
    <w:rsid w:val="0091467A"/>
    <w:rsid w:val="00916082"/>
    <w:rsid w:val="0093397B"/>
    <w:rsid w:val="00933D29"/>
    <w:rsid w:val="0093699B"/>
    <w:rsid w:val="009536A0"/>
    <w:rsid w:val="00965A98"/>
    <w:rsid w:val="00965FEB"/>
    <w:rsid w:val="00971995"/>
    <w:rsid w:val="009759E7"/>
    <w:rsid w:val="0098507D"/>
    <w:rsid w:val="00995A69"/>
    <w:rsid w:val="009A1668"/>
    <w:rsid w:val="009A3438"/>
    <w:rsid w:val="009A6EA1"/>
    <w:rsid w:val="009B1E22"/>
    <w:rsid w:val="009B4FEE"/>
    <w:rsid w:val="009C5BE4"/>
    <w:rsid w:val="009D51B7"/>
    <w:rsid w:val="009E2A9D"/>
    <w:rsid w:val="009E7C5D"/>
    <w:rsid w:val="009F33B4"/>
    <w:rsid w:val="009F6BB6"/>
    <w:rsid w:val="009F6FDC"/>
    <w:rsid w:val="00A00DB9"/>
    <w:rsid w:val="00A125D9"/>
    <w:rsid w:val="00A220E8"/>
    <w:rsid w:val="00A23DA0"/>
    <w:rsid w:val="00A3398D"/>
    <w:rsid w:val="00A35CD8"/>
    <w:rsid w:val="00A6155C"/>
    <w:rsid w:val="00A73707"/>
    <w:rsid w:val="00A755BF"/>
    <w:rsid w:val="00A858AA"/>
    <w:rsid w:val="00A8602C"/>
    <w:rsid w:val="00A915AB"/>
    <w:rsid w:val="00A91861"/>
    <w:rsid w:val="00A927DC"/>
    <w:rsid w:val="00A92A9F"/>
    <w:rsid w:val="00AB1BD7"/>
    <w:rsid w:val="00AC096C"/>
    <w:rsid w:val="00AC6B94"/>
    <w:rsid w:val="00AD7070"/>
    <w:rsid w:val="00AE66D5"/>
    <w:rsid w:val="00B03D05"/>
    <w:rsid w:val="00B160CA"/>
    <w:rsid w:val="00B23FF3"/>
    <w:rsid w:val="00B27094"/>
    <w:rsid w:val="00B3285C"/>
    <w:rsid w:val="00B41A06"/>
    <w:rsid w:val="00B455E3"/>
    <w:rsid w:val="00B5255A"/>
    <w:rsid w:val="00B56B41"/>
    <w:rsid w:val="00BB2516"/>
    <w:rsid w:val="00BB5550"/>
    <w:rsid w:val="00BC2F3E"/>
    <w:rsid w:val="00BD18D3"/>
    <w:rsid w:val="00BE520D"/>
    <w:rsid w:val="00C164CA"/>
    <w:rsid w:val="00C24F2D"/>
    <w:rsid w:val="00C31E6C"/>
    <w:rsid w:val="00C46729"/>
    <w:rsid w:val="00C534F6"/>
    <w:rsid w:val="00C605E3"/>
    <w:rsid w:val="00C61B80"/>
    <w:rsid w:val="00C62254"/>
    <w:rsid w:val="00C63585"/>
    <w:rsid w:val="00C64649"/>
    <w:rsid w:val="00C64C6E"/>
    <w:rsid w:val="00C709D1"/>
    <w:rsid w:val="00CA2849"/>
    <w:rsid w:val="00CA345B"/>
    <w:rsid w:val="00CA45EC"/>
    <w:rsid w:val="00CC38C7"/>
    <w:rsid w:val="00CD5871"/>
    <w:rsid w:val="00CF19E1"/>
    <w:rsid w:val="00D022F4"/>
    <w:rsid w:val="00D14F84"/>
    <w:rsid w:val="00D236B0"/>
    <w:rsid w:val="00D35746"/>
    <w:rsid w:val="00D52173"/>
    <w:rsid w:val="00D55B61"/>
    <w:rsid w:val="00D60EBB"/>
    <w:rsid w:val="00D62FF3"/>
    <w:rsid w:val="00D7523F"/>
    <w:rsid w:val="00D80F3A"/>
    <w:rsid w:val="00D955AB"/>
    <w:rsid w:val="00D96B97"/>
    <w:rsid w:val="00DA2ACF"/>
    <w:rsid w:val="00DA698A"/>
    <w:rsid w:val="00DC6156"/>
    <w:rsid w:val="00DC7524"/>
    <w:rsid w:val="00DD5996"/>
    <w:rsid w:val="00DE1546"/>
    <w:rsid w:val="00DF0365"/>
    <w:rsid w:val="00E03626"/>
    <w:rsid w:val="00E074DF"/>
    <w:rsid w:val="00E120B7"/>
    <w:rsid w:val="00E1639E"/>
    <w:rsid w:val="00E1703A"/>
    <w:rsid w:val="00E33802"/>
    <w:rsid w:val="00E523DF"/>
    <w:rsid w:val="00E65057"/>
    <w:rsid w:val="00E7554B"/>
    <w:rsid w:val="00EB0D4C"/>
    <w:rsid w:val="00EB4524"/>
    <w:rsid w:val="00ED6E0D"/>
    <w:rsid w:val="00EE1780"/>
    <w:rsid w:val="00EE2B52"/>
    <w:rsid w:val="00EE3A34"/>
    <w:rsid w:val="00EE5E19"/>
    <w:rsid w:val="00EE6185"/>
    <w:rsid w:val="00F00A12"/>
    <w:rsid w:val="00F206AF"/>
    <w:rsid w:val="00F24F69"/>
    <w:rsid w:val="00F36832"/>
    <w:rsid w:val="00F43228"/>
    <w:rsid w:val="00F62100"/>
    <w:rsid w:val="00F67517"/>
    <w:rsid w:val="00F72D8E"/>
    <w:rsid w:val="00F75A44"/>
    <w:rsid w:val="00F8502B"/>
    <w:rsid w:val="00FA1680"/>
    <w:rsid w:val="00FB08FC"/>
    <w:rsid w:val="00FB6600"/>
    <w:rsid w:val="00FC665A"/>
    <w:rsid w:val="00FD7C47"/>
    <w:rsid w:val="00FE5410"/>
    <w:rsid w:val="00FE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56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C9B"/>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995A69"/>
    <w:pPr>
      <w:tabs>
        <w:tab w:val="center" w:pos="4680"/>
        <w:tab w:val="right" w:pos="9360"/>
      </w:tabs>
    </w:pPr>
  </w:style>
  <w:style w:type="character" w:customStyle="1" w:styleId="HeaderChar">
    <w:name w:val="Header Char"/>
    <w:basedOn w:val="DefaultParagraphFont"/>
    <w:link w:val="Header"/>
    <w:uiPriority w:val="99"/>
    <w:rsid w:val="00995A69"/>
  </w:style>
  <w:style w:type="paragraph" w:styleId="Footer">
    <w:name w:val="footer"/>
    <w:basedOn w:val="Normal"/>
    <w:link w:val="FooterChar"/>
    <w:uiPriority w:val="99"/>
    <w:unhideWhenUsed/>
    <w:rsid w:val="00995A69"/>
    <w:pPr>
      <w:tabs>
        <w:tab w:val="center" w:pos="4680"/>
        <w:tab w:val="right" w:pos="9360"/>
      </w:tabs>
    </w:pPr>
  </w:style>
  <w:style w:type="character" w:customStyle="1" w:styleId="FooterChar">
    <w:name w:val="Footer Char"/>
    <w:basedOn w:val="DefaultParagraphFont"/>
    <w:link w:val="Footer"/>
    <w:uiPriority w:val="99"/>
    <w:rsid w:val="00995A69"/>
  </w:style>
  <w:style w:type="paragraph" w:styleId="ListParagraph">
    <w:name w:val="List Paragraph"/>
    <w:basedOn w:val="Normal"/>
    <w:uiPriority w:val="34"/>
    <w:qFormat/>
    <w:rsid w:val="0018614F"/>
    <w:pPr>
      <w:ind w:left="720"/>
      <w:contextualSpacing/>
    </w:pPr>
  </w:style>
  <w:style w:type="character" w:styleId="Hyperlink">
    <w:name w:val="Hyperlink"/>
    <w:basedOn w:val="DefaultParagraphFont"/>
    <w:uiPriority w:val="99"/>
    <w:unhideWhenUsed/>
    <w:rsid w:val="00DC7524"/>
    <w:rPr>
      <w:color w:val="0563C1" w:themeColor="hyperlink"/>
      <w:u w:val="single"/>
    </w:rPr>
  </w:style>
  <w:style w:type="character" w:styleId="CommentReference">
    <w:name w:val="annotation reference"/>
    <w:basedOn w:val="DefaultParagraphFont"/>
    <w:uiPriority w:val="99"/>
    <w:semiHidden/>
    <w:unhideWhenUsed/>
    <w:rsid w:val="00572E97"/>
    <w:rPr>
      <w:sz w:val="16"/>
      <w:szCs w:val="16"/>
    </w:rPr>
  </w:style>
  <w:style w:type="paragraph" w:styleId="CommentText">
    <w:name w:val="annotation text"/>
    <w:basedOn w:val="Normal"/>
    <w:link w:val="CommentTextChar"/>
    <w:uiPriority w:val="99"/>
    <w:semiHidden/>
    <w:unhideWhenUsed/>
    <w:rsid w:val="00572E97"/>
    <w:rPr>
      <w:sz w:val="20"/>
      <w:szCs w:val="20"/>
    </w:rPr>
  </w:style>
  <w:style w:type="character" w:customStyle="1" w:styleId="CommentTextChar">
    <w:name w:val="Comment Text Char"/>
    <w:basedOn w:val="DefaultParagraphFont"/>
    <w:link w:val="CommentText"/>
    <w:uiPriority w:val="99"/>
    <w:semiHidden/>
    <w:rsid w:val="00572E97"/>
    <w:rPr>
      <w:sz w:val="20"/>
      <w:szCs w:val="20"/>
    </w:rPr>
  </w:style>
  <w:style w:type="paragraph" w:styleId="CommentSubject">
    <w:name w:val="annotation subject"/>
    <w:basedOn w:val="CommentText"/>
    <w:next w:val="CommentText"/>
    <w:link w:val="CommentSubjectChar"/>
    <w:uiPriority w:val="99"/>
    <w:semiHidden/>
    <w:unhideWhenUsed/>
    <w:rsid w:val="00572E97"/>
    <w:rPr>
      <w:b/>
      <w:bCs/>
    </w:rPr>
  </w:style>
  <w:style w:type="character" w:customStyle="1" w:styleId="CommentSubjectChar">
    <w:name w:val="Comment Subject Char"/>
    <w:basedOn w:val="CommentTextChar"/>
    <w:link w:val="CommentSubject"/>
    <w:uiPriority w:val="99"/>
    <w:semiHidden/>
    <w:rsid w:val="00572E97"/>
    <w:rPr>
      <w:b/>
      <w:bCs/>
      <w:sz w:val="20"/>
      <w:szCs w:val="20"/>
    </w:rPr>
  </w:style>
  <w:style w:type="paragraph" w:styleId="BalloonText">
    <w:name w:val="Balloon Text"/>
    <w:basedOn w:val="Normal"/>
    <w:link w:val="BalloonTextChar"/>
    <w:uiPriority w:val="99"/>
    <w:semiHidden/>
    <w:unhideWhenUsed/>
    <w:rsid w:val="00572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E97"/>
    <w:rPr>
      <w:rFonts w:ascii="Segoe UI" w:hAnsi="Segoe UI" w:cs="Segoe UI"/>
      <w:sz w:val="18"/>
      <w:szCs w:val="18"/>
    </w:rPr>
  </w:style>
  <w:style w:type="paragraph" w:styleId="FootnoteText">
    <w:name w:val="footnote text"/>
    <w:basedOn w:val="Normal"/>
    <w:link w:val="FootnoteTextChar"/>
    <w:uiPriority w:val="99"/>
    <w:semiHidden/>
    <w:unhideWhenUsed/>
    <w:rsid w:val="000A7A45"/>
    <w:rPr>
      <w:sz w:val="20"/>
      <w:szCs w:val="20"/>
    </w:rPr>
  </w:style>
  <w:style w:type="character" w:customStyle="1" w:styleId="FootnoteTextChar">
    <w:name w:val="Footnote Text Char"/>
    <w:basedOn w:val="DefaultParagraphFont"/>
    <w:link w:val="FootnoteText"/>
    <w:uiPriority w:val="99"/>
    <w:semiHidden/>
    <w:rsid w:val="000A7A45"/>
    <w:rPr>
      <w:sz w:val="20"/>
      <w:szCs w:val="20"/>
    </w:rPr>
  </w:style>
  <w:style w:type="character" w:styleId="FootnoteReference">
    <w:name w:val="footnote reference"/>
    <w:basedOn w:val="DefaultParagraphFont"/>
    <w:uiPriority w:val="99"/>
    <w:semiHidden/>
    <w:unhideWhenUsed/>
    <w:rsid w:val="000A7A45"/>
    <w:rPr>
      <w:vertAlign w:val="superscript"/>
    </w:rPr>
  </w:style>
  <w:style w:type="paragraph" w:customStyle="1" w:styleId="m4888141923350804582gmail-m-797956664094418580msolistparagraph">
    <w:name w:val="m_4888141923350804582gmail-m_-797956664094418580msolistparagraph"/>
    <w:basedOn w:val="Normal"/>
    <w:rsid w:val="00866556"/>
    <w:pPr>
      <w:spacing w:before="100" w:beforeAutospacing="1" w:after="100" w:afterAutospacing="1"/>
    </w:pPr>
    <w:rPr>
      <w:rFonts w:ascii="Times New Roman" w:hAnsi="Times New Roman" w:cs="Times New Roman"/>
    </w:rPr>
  </w:style>
  <w:style w:type="paragraph" w:styleId="EndnoteText">
    <w:name w:val="endnote text"/>
    <w:basedOn w:val="Normal"/>
    <w:link w:val="EndnoteTextChar"/>
    <w:uiPriority w:val="99"/>
    <w:semiHidden/>
    <w:unhideWhenUsed/>
    <w:rsid w:val="00BC2F3E"/>
    <w:rPr>
      <w:sz w:val="20"/>
      <w:szCs w:val="20"/>
    </w:rPr>
  </w:style>
  <w:style w:type="character" w:customStyle="1" w:styleId="EndnoteTextChar">
    <w:name w:val="Endnote Text Char"/>
    <w:basedOn w:val="DefaultParagraphFont"/>
    <w:link w:val="EndnoteText"/>
    <w:uiPriority w:val="99"/>
    <w:semiHidden/>
    <w:rsid w:val="00BC2F3E"/>
    <w:rPr>
      <w:sz w:val="20"/>
      <w:szCs w:val="20"/>
    </w:rPr>
  </w:style>
  <w:style w:type="character" w:styleId="EndnoteReference">
    <w:name w:val="endnote reference"/>
    <w:basedOn w:val="DefaultParagraphFont"/>
    <w:uiPriority w:val="99"/>
    <w:semiHidden/>
    <w:unhideWhenUsed/>
    <w:rsid w:val="00BC2F3E"/>
    <w:rPr>
      <w:vertAlign w:val="superscript"/>
    </w:rPr>
  </w:style>
  <w:style w:type="paragraph" w:styleId="Revision">
    <w:name w:val="Revision"/>
    <w:hidden/>
    <w:uiPriority w:val="99"/>
    <w:semiHidden/>
    <w:rsid w:val="000F0AC6"/>
  </w:style>
  <w:style w:type="character" w:styleId="FollowedHyperlink">
    <w:name w:val="FollowedHyperlink"/>
    <w:basedOn w:val="DefaultParagraphFont"/>
    <w:uiPriority w:val="99"/>
    <w:semiHidden/>
    <w:unhideWhenUsed/>
    <w:rsid w:val="006C6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3148">
      <w:bodyDiv w:val="1"/>
      <w:marLeft w:val="0"/>
      <w:marRight w:val="0"/>
      <w:marTop w:val="0"/>
      <w:marBottom w:val="0"/>
      <w:divBdr>
        <w:top w:val="none" w:sz="0" w:space="0" w:color="auto"/>
        <w:left w:val="none" w:sz="0" w:space="0" w:color="auto"/>
        <w:bottom w:val="none" w:sz="0" w:space="0" w:color="auto"/>
        <w:right w:val="none" w:sz="0" w:space="0" w:color="auto"/>
      </w:divBdr>
    </w:div>
    <w:div w:id="138690121">
      <w:bodyDiv w:val="1"/>
      <w:marLeft w:val="0"/>
      <w:marRight w:val="0"/>
      <w:marTop w:val="0"/>
      <w:marBottom w:val="0"/>
      <w:divBdr>
        <w:top w:val="none" w:sz="0" w:space="0" w:color="auto"/>
        <w:left w:val="none" w:sz="0" w:space="0" w:color="auto"/>
        <w:bottom w:val="none" w:sz="0" w:space="0" w:color="auto"/>
        <w:right w:val="none" w:sz="0" w:space="0" w:color="auto"/>
      </w:divBdr>
    </w:div>
    <w:div w:id="240603235">
      <w:bodyDiv w:val="1"/>
      <w:marLeft w:val="0"/>
      <w:marRight w:val="0"/>
      <w:marTop w:val="0"/>
      <w:marBottom w:val="0"/>
      <w:divBdr>
        <w:top w:val="none" w:sz="0" w:space="0" w:color="auto"/>
        <w:left w:val="none" w:sz="0" w:space="0" w:color="auto"/>
        <w:bottom w:val="none" w:sz="0" w:space="0" w:color="auto"/>
        <w:right w:val="none" w:sz="0" w:space="0" w:color="auto"/>
      </w:divBdr>
      <w:divsChild>
        <w:div w:id="1855221712">
          <w:marLeft w:val="806"/>
          <w:marRight w:val="0"/>
          <w:marTop w:val="270"/>
          <w:marBottom w:val="0"/>
          <w:divBdr>
            <w:top w:val="none" w:sz="0" w:space="0" w:color="auto"/>
            <w:left w:val="none" w:sz="0" w:space="0" w:color="auto"/>
            <w:bottom w:val="none" w:sz="0" w:space="0" w:color="auto"/>
            <w:right w:val="none" w:sz="0" w:space="0" w:color="auto"/>
          </w:divBdr>
        </w:div>
        <w:div w:id="1382632741">
          <w:marLeft w:val="806"/>
          <w:marRight w:val="0"/>
          <w:marTop w:val="270"/>
          <w:marBottom w:val="0"/>
          <w:divBdr>
            <w:top w:val="none" w:sz="0" w:space="0" w:color="auto"/>
            <w:left w:val="none" w:sz="0" w:space="0" w:color="auto"/>
            <w:bottom w:val="none" w:sz="0" w:space="0" w:color="auto"/>
            <w:right w:val="none" w:sz="0" w:space="0" w:color="auto"/>
          </w:divBdr>
        </w:div>
        <w:div w:id="2097510896">
          <w:marLeft w:val="806"/>
          <w:marRight w:val="0"/>
          <w:marTop w:val="270"/>
          <w:marBottom w:val="0"/>
          <w:divBdr>
            <w:top w:val="none" w:sz="0" w:space="0" w:color="auto"/>
            <w:left w:val="none" w:sz="0" w:space="0" w:color="auto"/>
            <w:bottom w:val="none" w:sz="0" w:space="0" w:color="auto"/>
            <w:right w:val="none" w:sz="0" w:space="0" w:color="auto"/>
          </w:divBdr>
        </w:div>
      </w:divsChild>
    </w:div>
    <w:div w:id="365639476">
      <w:bodyDiv w:val="1"/>
      <w:marLeft w:val="0"/>
      <w:marRight w:val="0"/>
      <w:marTop w:val="0"/>
      <w:marBottom w:val="0"/>
      <w:divBdr>
        <w:top w:val="none" w:sz="0" w:space="0" w:color="auto"/>
        <w:left w:val="none" w:sz="0" w:space="0" w:color="auto"/>
        <w:bottom w:val="none" w:sz="0" w:space="0" w:color="auto"/>
        <w:right w:val="none" w:sz="0" w:space="0" w:color="auto"/>
      </w:divBdr>
    </w:div>
    <w:div w:id="457994906">
      <w:bodyDiv w:val="1"/>
      <w:marLeft w:val="0"/>
      <w:marRight w:val="0"/>
      <w:marTop w:val="0"/>
      <w:marBottom w:val="0"/>
      <w:divBdr>
        <w:top w:val="none" w:sz="0" w:space="0" w:color="auto"/>
        <w:left w:val="none" w:sz="0" w:space="0" w:color="auto"/>
        <w:bottom w:val="none" w:sz="0" w:space="0" w:color="auto"/>
        <w:right w:val="none" w:sz="0" w:space="0" w:color="auto"/>
      </w:divBdr>
    </w:div>
    <w:div w:id="678896251">
      <w:bodyDiv w:val="1"/>
      <w:marLeft w:val="0"/>
      <w:marRight w:val="0"/>
      <w:marTop w:val="0"/>
      <w:marBottom w:val="0"/>
      <w:divBdr>
        <w:top w:val="none" w:sz="0" w:space="0" w:color="auto"/>
        <w:left w:val="none" w:sz="0" w:space="0" w:color="auto"/>
        <w:bottom w:val="none" w:sz="0" w:space="0" w:color="auto"/>
        <w:right w:val="none" w:sz="0" w:space="0" w:color="auto"/>
      </w:divBdr>
    </w:div>
    <w:div w:id="732123352">
      <w:bodyDiv w:val="1"/>
      <w:marLeft w:val="0"/>
      <w:marRight w:val="0"/>
      <w:marTop w:val="0"/>
      <w:marBottom w:val="0"/>
      <w:divBdr>
        <w:top w:val="none" w:sz="0" w:space="0" w:color="auto"/>
        <w:left w:val="none" w:sz="0" w:space="0" w:color="auto"/>
        <w:bottom w:val="none" w:sz="0" w:space="0" w:color="auto"/>
        <w:right w:val="none" w:sz="0" w:space="0" w:color="auto"/>
      </w:divBdr>
      <w:divsChild>
        <w:div w:id="1212770991">
          <w:marLeft w:val="0"/>
          <w:marRight w:val="0"/>
          <w:marTop w:val="0"/>
          <w:marBottom w:val="0"/>
          <w:divBdr>
            <w:top w:val="none" w:sz="0" w:space="0" w:color="auto"/>
            <w:left w:val="none" w:sz="0" w:space="0" w:color="auto"/>
            <w:bottom w:val="none" w:sz="0" w:space="0" w:color="auto"/>
            <w:right w:val="none" w:sz="0" w:space="0" w:color="auto"/>
          </w:divBdr>
          <w:divsChild>
            <w:div w:id="512841848">
              <w:marLeft w:val="0"/>
              <w:marRight w:val="0"/>
              <w:marTop w:val="0"/>
              <w:marBottom w:val="0"/>
              <w:divBdr>
                <w:top w:val="none" w:sz="0" w:space="0" w:color="auto"/>
                <w:left w:val="none" w:sz="0" w:space="0" w:color="auto"/>
                <w:bottom w:val="none" w:sz="0" w:space="0" w:color="auto"/>
                <w:right w:val="none" w:sz="0" w:space="0" w:color="auto"/>
              </w:divBdr>
              <w:divsChild>
                <w:div w:id="1247692128">
                  <w:marLeft w:val="0"/>
                  <w:marRight w:val="0"/>
                  <w:marTop w:val="0"/>
                  <w:marBottom w:val="0"/>
                  <w:divBdr>
                    <w:top w:val="none" w:sz="0" w:space="0" w:color="auto"/>
                    <w:left w:val="none" w:sz="0" w:space="0" w:color="auto"/>
                    <w:bottom w:val="none" w:sz="0" w:space="0" w:color="auto"/>
                    <w:right w:val="none" w:sz="0" w:space="0" w:color="auto"/>
                  </w:divBdr>
                </w:div>
              </w:divsChild>
            </w:div>
            <w:div w:id="785580521">
              <w:marLeft w:val="0"/>
              <w:marRight w:val="0"/>
              <w:marTop w:val="0"/>
              <w:marBottom w:val="0"/>
              <w:divBdr>
                <w:top w:val="none" w:sz="0" w:space="0" w:color="auto"/>
                <w:left w:val="none" w:sz="0" w:space="0" w:color="auto"/>
                <w:bottom w:val="none" w:sz="0" w:space="0" w:color="auto"/>
                <w:right w:val="none" w:sz="0" w:space="0" w:color="auto"/>
              </w:divBdr>
              <w:divsChild>
                <w:div w:id="4448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60218">
          <w:marLeft w:val="0"/>
          <w:marRight w:val="0"/>
          <w:marTop w:val="0"/>
          <w:marBottom w:val="0"/>
          <w:divBdr>
            <w:top w:val="none" w:sz="0" w:space="0" w:color="auto"/>
            <w:left w:val="none" w:sz="0" w:space="0" w:color="auto"/>
            <w:bottom w:val="none" w:sz="0" w:space="0" w:color="auto"/>
            <w:right w:val="none" w:sz="0" w:space="0" w:color="auto"/>
          </w:divBdr>
          <w:divsChild>
            <w:div w:id="2017222917">
              <w:marLeft w:val="0"/>
              <w:marRight w:val="0"/>
              <w:marTop w:val="0"/>
              <w:marBottom w:val="0"/>
              <w:divBdr>
                <w:top w:val="none" w:sz="0" w:space="0" w:color="auto"/>
                <w:left w:val="none" w:sz="0" w:space="0" w:color="auto"/>
                <w:bottom w:val="none" w:sz="0" w:space="0" w:color="auto"/>
                <w:right w:val="none" w:sz="0" w:space="0" w:color="auto"/>
              </w:divBdr>
              <w:divsChild>
                <w:div w:id="1079718565">
                  <w:marLeft w:val="0"/>
                  <w:marRight w:val="0"/>
                  <w:marTop w:val="0"/>
                  <w:marBottom w:val="0"/>
                  <w:divBdr>
                    <w:top w:val="none" w:sz="0" w:space="0" w:color="auto"/>
                    <w:left w:val="none" w:sz="0" w:space="0" w:color="auto"/>
                    <w:bottom w:val="none" w:sz="0" w:space="0" w:color="auto"/>
                    <w:right w:val="none" w:sz="0" w:space="0" w:color="auto"/>
                  </w:divBdr>
                </w:div>
              </w:divsChild>
            </w:div>
            <w:div w:id="588008385">
              <w:marLeft w:val="0"/>
              <w:marRight w:val="0"/>
              <w:marTop w:val="0"/>
              <w:marBottom w:val="0"/>
              <w:divBdr>
                <w:top w:val="none" w:sz="0" w:space="0" w:color="auto"/>
                <w:left w:val="none" w:sz="0" w:space="0" w:color="auto"/>
                <w:bottom w:val="none" w:sz="0" w:space="0" w:color="auto"/>
                <w:right w:val="none" w:sz="0" w:space="0" w:color="auto"/>
              </w:divBdr>
              <w:divsChild>
                <w:div w:id="5885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1151">
          <w:marLeft w:val="0"/>
          <w:marRight w:val="0"/>
          <w:marTop w:val="0"/>
          <w:marBottom w:val="0"/>
          <w:divBdr>
            <w:top w:val="none" w:sz="0" w:space="0" w:color="auto"/>
            <w:left w:val="none" w:sz="0" w:space="0" w:color="auto"/>
            <w:bottom w:val="none" w:sz="0" w:space="0" w:color="auto"/>
            <w:right w:val="none" w:sz="0" w:space="0" w:color="auto"/>
          </w:divBdr>
          <w:divsChild>
            <w:div w:id="1640261722">
              <w:marLeft w:val="0"/>
              <w:marRight w:val="0"/>
              <w:marTop w:val="0"/>
              <w:marBottom w:val="0"/>
              <w:divBdr>
                <w:top w:val="none" w:sz="0" w:space="0" w:color="auto"/>
                <w:left w:val="none" w:sz="0" w:space="0" w:color="auto"/>
                <w:bottom w:val="none" w:sz="0" w:space="0" w:color="auto"/>
                <w:right w:val="none" w:sz="0" w:space="0" w:color="auto"/>
              </w:divBdr>
              <w:divsChild>
                <w:div w:id="653414418">
                  <w:marLeft w:val="0"/>
                  <w:marRight w:val="0"/>
                  <w:marTop w:val="0"/>
                  <w:marBottom w:val="0"/>
                  <w:divBdr>
                    <w:top w:val="none" w:sz="0" w:space="0" w:color="auto"/>
                    <w:left w:val="none" w:sz="0" w:space="0" w:color="auto"/>
                    <w:bottom w:val="none" w:sz="0" w:space="0" w:color="auto"/>
                    <w:right w:val="none" w:sz="0" w:space="0" w:color="auto"/>
                  </w:divBdr>
                </w:div>
              </w:divsChild>
            </w:div>
            <w:div w:id="502164678">
              <w:marLeft w:val="0"/>
              <w:marRight w:val="0"/>
              <w:marTop w:val="0"/>
              <w:marBottom w:val="0"/>
              <w:divBdr>
                <w:top w:val="none" w:sz="0" w:space="0" w:color="auto"/>
                <w:left w:val="none" w:sz="0" w:space="0" w:color="auto"/>
                <w:bottom w:val="none" w:sz="0" w:space="0" w:color="auto"/>
                <w:right w:val="none" w:sz="0" w:space="0" w:color="auto"/>
              </w:divBdr>
              <w:divsChild>
                <w:div w:id="5595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7986">
          <w:marLeft w:val="0"/>
          <w:marRight w:val="0"/>
          <w:marTop w:val="0"/>
          <w:marBottom w:val="0"/>
          <w:divBdr>
            <w:top w:val="none" w:sz="0" w:space="0" w:color="auto"/>
            <w:left w:val="none" w:sz="0" w:space="0" w:color="auto"/>
            <w:bottom w:val="none" w:sz="0" w:space="0" w:color="auto"/>
            <w:right w:val="none" w:sz="0" w:space="0" w:color="auto"/>
          </w:divBdr>
          <w:divsChild>
            <w:div w:id="1376007430">
              <w:marLeft w:val="0"/>
              <w:marRight w:val="0"/>
              <w:marTop w:val="0"/>
              <w:marBottom w:val="0"/>
              <w:divBdr>
                <w:top w:val="none" w:sz="0" w:space="0" w:color="auto"/>
                <w:left w:val="none" w:sz="0" w:space="0" w:color="auto"/>
                <w:bottom w:val="none" w:sz="0" w:space="0" w:color="auto"/>
                <w:right w:val="none" w:sz="0" w:space="0" w:color="auto"/>
              </w:divBdr>
              <w:divsChild>
                <w:div w:id="1390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8277">
          <w:marLeft w:val="0"/>
          <w:marRight w:val="0"/>
          <w:marTop w:val="0"/>
          <w:marBottom w:val="0"/>
          <w:divBdr>
            <w:top w:val="none" w:sz="0" w:space="0" w:color="auto"/>
            <w:left w:val="none" w:sz="0" w:space="0" w:color="auto"/>
            <w:bottom w:val="none" w:sz="0" w:space="0" w:color="auto"/>
            <w:right w:val="none" w:sz="0" w:space="0" w:color="auto"/>
          </w:divBdr>
          <w:divsChild>
            <w:div w:id="1258321805">
              <w:marLeft w:val="0"/>
              <w:marRight w:val="0"/>
              <w:marTop w:val="0"/>
              <w:marBottom w:val="0"/>
              <w:divBdr>
                <w:top w:val="none" w:sz="0" w:space="0" w:color="auto"/>
                <w:left w:val="none" w:sz="0" w:space="0" w:color="auto"/>
                <w:bottom w:val="none" w:sz="0" w:space="0" w:color="auto"/>
                <w:right w:val="none" w:sz="0" w:space="0" w:color="auto"/>
              </w:divBdr>
              <w:divsChild>
                <w:div w:id="1640768900">
                  <w:marLeft w:val="0"/>
                  <w:marRight w:val="0"/>
                  <w:marTop w:val="0"/>
                  <w:marBottom w:val="0"/>
                  <w:divBdr>
                    <w:top w:val="none" w:sz="0" w:space="0" w:color="auto"/>
                    <w:left w:val="none" w:sz="0" w:space="0" w:color="auto"/>
                    <w:bottom w:val="none" w:sz="0" w:space="0" w:color="auto"/>
                    <w:right w:val="none" w:sz="0" w:space="0" w:color="auto"/>
                  </w:divBdr>
                </w:div>
              </w:divsChild>
            </w:div>
            <w:div w:id="1136722551">
              <w:marLeft w:val="0"/>
              <w:marRight w:val="0"/>
              <w:marTop w:val="0"/>
              <w:marBottom w:val="0"/>
              <w:divBdr>
                <w:top w:val="none" w:sz="0" w:space="0" w:color="auto"/>
                <w:left w:val="none" w:sz="0" w:space="0" w:color="auto"/>
                <w:bottom w:val="none" w:sz="0" w:space="0" w:color="auto"/>
                <w:right w:val="none" w:sz="0" w:space="0" w:color="auto"/>
              </w:divBdr>
              <w:divsChild>
                <w:div w:id="226695168">
                  <w:marLeft w:val="0"/>
                  <w:marRight w:val="0"/>
                  <w:marTop w:val="0"/>
                  <w:marBottom w:val="0"/>
                  <w:divBdr>
                    <w:top w:val="none" w:sz="0" w:space="0" w:color="auto"/>
                    <w:left w:val="none" w:sz="0" w:space="0" w:color="auto"/>
                    <w:bottom w:val="none" w:sz="0" w:space="0" w:color="auto"/>
                    <w:right w:val="none" w:sz="0" w:space="0" w:color="auto"/>
                  </w:divBdr>
                </w:div>
              </w:divsChild>
            </w:div>
            <w:div w:id="522937579">
              <w:marLeft w:val="0"/>
              <w:marRight w:val="0"/>
              <w:marTop w:val="0"/>
              <w:marBottom w:val="0"/>
              <w:divBdr>
                <w:top w:val="none" w:sz="0" w:space="0" w:color="auto"/>
                <w:left w:val="none" w:sz="0" w:space="0" w:color="auto"/>
                <w:bottom w:val="none" w:sz="0" w:space="0" w:color="auto"/>
                <w:right w:val="none" w:sz="0" w:space="0" w:color="auto"/>
              </w:divBdr>
              <w:divsChild>
                <w:div w:id="131680045">
                  <w:marLeft w:val="0"/>
                  <w:marRight w:val="0"/>
                  <w:marTop w:val="0"/>
                  <w:marBottom w:val="0"/>
                  <w:divBdr>
                    <w:top w:val="none" w:sz="0" w:space="0" w:color="auto"/>
                    <w:left w:val="none" w:sz="0" w:space="0" w:color="auto"/>
                    <w:bottom w:val="none" w:sz="0" w:space="0" w:color="auto"/>
                    <w:right w:val="none" w:sz="0" w:space="0" w:color="auto"/>
                  </w:divBdr>
                </w:div>
              </w:divsChild>
            </w:div>
            <w:div w:id="972368179">
              <w:marLeft w:val="0"/>
              <w:marRight w:val="0"/>
              <w:marTop w:val="0"/>
              <w:marBottom w:val="0"/>
              <w:divBdr>
                <w:top w:val="none" w:sz="0" w:space="0" w:color="auto"/>
                <w:left w:val="none" w:sz="0" w:space="0" w:color="auto"/>
                <w:bottom w:val="none" w:sz="0" w:space="0" w:color="auto"/>
                <w:right w:val="none" w:sz="0" w:space="0" w:color="auto"/>
              </w:divBdr>
              <w:divsChild>
                <w:div w:id="1066224667">
                  <w:marLeft w:val="0"/>
                  <w:marRight w:val="0"/>
                  <w:marTop w:val="0"/>
                  <w:marBottom w:val="0"/>
                  <w:divBdr>
                    <w:top w:val="none" w:sz="0" w:space="0" w:color="auto"/>
                    <w:left w:val="none" w:sz="0" w:space="0" w:color="auto"/>
                    <w:bottom w:val="none" w:sz="0" w:space="0" w:color="auto"/>
                    <w:right w:val="none" w:sz="0" w:space="0" w:color="auto"/>
                  </w:divBdr>
                </w:div>
              </w:divsChild>
            </w:div>
            <w:div w:id="384762963">
              <w:marLeft w:val="0"/>
              <w:marRight w:val="0"/>
              <w:marTop w:val="0"/>
              <w:marBottom w:val="0"/>
              <w:divBdr>
                <w:top w:val="none" w:sz="0" w:space="0" w:color="auto"/>
                <w:left w:val="none" w:sz="0" w:space="0" w:color="auto"/>
                <w:bottom w:val="none" w:sz="0" w:space="0" w:color="auto"/>
                <w:right w:val="none" w:sz="0" w:space="0" w:color="auto"/>
              </w:divBdr>
              <w:divsChild>
                <w:div w:id="529997083">
                  <w:marLeft w:val="0"/>
                  <w:marRight w:val="0"/>
                  <w:marTop w:val="0"/>
                  <w:marBottom w:val="0"/>
                  <w:divBdr>
                    <w:top w:val="none" w:sz="0" w:space="0" w:color="auto"/>
                    <w:left w:val="none" w:sz="0" w:space="0" w:color="auto"/>
                    <w:bottom w:val="none" w:sz="0" w:space="0" w:color="auto"/>
                    <w:right w:val="none" w:sz="0" w:space="0" w:color="auto"/>
                  </w:divBdr>
                </w:div>
              </w:divsChild>
            </w:div>
            <w:div w:id="1198742534">
              <w:marLeft w:val="0"/>
              <w:marRight w:val="0"/>
              <w:marTop w:val="0"/>
              <w:marBottom w:val="0"/>
              <w:divBdr>
                <w:top w:val="none" w:sz="0" w:space="0" w:color="auto"/>
                <w:left w:val="none" w:sz="0" w:space="0" w:color="auto"/>
                <w:bottom w:val="none" w:sz="0" w:space="0" w:color="auto"/>
                <w:right w:val="none" w:sz="0" w:space="0" w:color="auto"/>
              </w:divBdr>
              <w:divsChild>
                <w:div w:id="1972518544">
                  <w:marLeft w:val="0"/>
                  <w:marRight w:val="0"/>
                  <w:marTop w:val="0"/>
                  <w:marBottom w:val="0"/>
                  <w:divBdr>
                    <w:top w:val="none" w:sz="0" w:space="0" w:color="auto"/>
                    <w:left w:val="none" w:sz="0" w:space="0" w:color="auto"/>
                    <w:bottom w:val="none" w:sz="0" w:space="0" w:color="auto"/>
                    <w:right w:val="none" w:sz="0" w:space="0" w:color="auto"/>
                  </w:divBdr>
                </w:div>
              </w:divsChild>
            </w:div>
            <w:div w:id="401030612">
              <w:marLeft w:val="0"/>
              <w:marRight w:val="0"/>
              <w:marTop w:val="0"/>
              <w:marBottom w:val="0"/>
              <w:divBdr>
                <w:top w:val="none" w:sz="0" w:space="0" w:color="auto"/>
                <w:left w:val="none" w:sz="0" w:space="0" w:color="auto"/>
                <w:bottom w:val="none" w:sz="0" w:space="0" w:color="auto"/>
                <w:right w:val="none" w:sz="0" w:space="0" w:color="auto"/>
              </w:divBdr>
              <w:divsChild>
                <w:div w:id="94593869">
                  <w:marLeft w:val="0"/>
                  <w:marRight w:val="0"/>
                  <w:marTop w:val="0"/>
                  <w:marBottom w:val="0"/>
                  <w:divBdr>
                    <w:top w:val="none" w:sz="0" w:space="0" w:color="auto"/>
                    <w:left w:val="none" w:sz="0" w:space="0" w:color="auto"/>
                    <w:bottom w:val="none" w:sz="0" w:space="0" w:color="auto"/>
                    <w:right w:val="none" w:sz="0" w:space="0" w:color="auto"/>
                  </w:divBdr>
                </w:div>
              </w:divsChild>
            </w:div>
            <w:div w:id="1042633050">
              <w:marLeft w:val="0"/>
              <w:marRight w:val="0"/>
              <w:marTop w:val="0"/>
              <w:marBottom w:val="0"/>
              <w:divBdr>
                <w:top w:val="none" w:sz="0" w:space="0" w:color="auto"/>
                <w:left w:val="none" w:sz="0" w:space="0" w:color="auto"/>
                <w:bottom w:val="none" w:sz="0" w:space="0" w:color="auto"/>
                <w:right w:val="none" w:sz="0" w:space="0" w:color="auto"/>
              </w:divBdr>
              <w:divsChild>
                <w:div w:id="251593406">
                  <w:marLeft w:val="0"/>
                  <w:marRight w:val="0"/>
                  <w:marTop w:val="0"/>
                  <w:marBottom w:val="0"/>
                  <w:divBdr>
                    <w:top w:val="none" w:sz="0" w:space="0" w:color="auto"/>
                    <w:left w:val="none" w:sz="0" w:space="0" w:color="auto"/>
                    <w:bottom w:val="none" w:sz="0" w:space="0" w:color="auto"/>
                    <w:right w:val="none" w:sz="0" w:space="0" w:color="auto"/>
                  </w:divBdr>
                </w:div>
              </w:divsChild>
            </w:div>
            <w:div w:id="929191598">
              <w:marLeft w:val="0"/>
              <w:marRight w:val="0"/>
              <w:marTop w:val="0"/>
              <w:marBottom w:val="0"/>
              <w:divBdr>
                <w:top w:val="none" w:sz="0" w:space="0" w:color="auto"/>
                <w:left w:val="none" w:sz="0" w:space="0" w:color="auto"/>
                <w:bottom w:val="none" w:sz="0" w:space="0" w:color="auto"/>
                <w:right w:val="none" w:sz="0" w:space="0" w:color="auto"/>
              </w:divBdr>
              <w:divsChild>
                <w:div w:id="442192189">
                  <w:marLeft w:val="0"/>
                  <w:marRight w:val="0"/>
                  <w:marTop w:val="0"/>
                  <w:marBottom w:val="0"/>
                  <w:divBdr>
                    <w:top w:val="none" w:sz="0" w:space="0" w:color="auto"/>
                    <w:left w:val="none" w:sz="0" w:space="0" w:color="auto"/>
                    <w:bottom w:val="none" w:sz="0" w:space="0" w:color="auto"/>
                    <w:right w:val="none" w:sz="0" w:space="0" w:color="auto"/>
                  </w:divBdr>
                </w:div>
              </w:divsChild>
            </w:div>
            <w:div w:id="957293134">
              <w:marLeft w:val="0"/>
              <w:marRight w:val="0"/>
              <w:marTop w:val="0"/>
              <w:marBottom w:val="0"/>
              <w:divBdr>
                <w:top w:val="none" w:sz="0" w:space="0" w:color="auto"/>
                <w:left w:val="none" w:sz="0" w:space="0" w:color="auto"/>
                <w:bottom w:val="none" w:sz="0" w:space="0" w:color="auto"/>
                <w:right w:val="none" w:sz="0" w:space="0" w:color="auto"/>
              </w:divBdr>
              <w:divsChild>
                <w:div w:id="71196700">
                  <w:marLeft w:val="0"/>
                  <w:marRight w:val="0"/>
                  <w:marTop w:val="0"/>
                  <w:marBottom w:val="0"/>
                  <w:divBdr>
                    <w:top w:val="none" w:sz="0" w:space="0" w:color="auto"/>
                    <w:left w:val="none" w:sz="0" w:space="0" w:color="auto"/>
                    <w:bottom w:val="none" w:sz="0" w:space="0" w:color="auto"/>
                    <w:right w:val="none" w:sz="0" w:space="0" w:color="auto"/>
                  </w:divBdr>
                </w:div>
              </w:divsChild>
            </w:div>
            <w:div w:id="1828789456">
              <w:marLeft w:val="0"/>
              <w:marRight w:val="0"/>
              <w:marTop w:val="0"/>
              <w:marBottom w:val="0"/>
              <w:divBdr>
                <w:top w:val="none" w:sz="0" w:space="0" w:color="auto"/>
                <w:left w:val="none" w:sz="0" w:space="0" w:color="auto"/>
                <w:bottom w:val="none" w:sz="0" w:space="0" w:color="auto"/>
                <w:right w:val="none" w:sz="0" w:space="0" w:color="auto"/>
              </w:divBdr>
              <w:divsChild>
                <w:div w:id="1356469152">
                  <w:marLeft w:val="0"/>
                  <w:marRight w:val="0"/>
                  <w:marTop w:val="0"/>
                  <w:marBottom w:val="0"/>
                  <w:divBdr>
                    <w:top w:val="none" w:sz="0" w:space="0" w:color="auto"/>
                    <w:left w:val="none" w:sz="0" w:space="0" w:color="auto"/>
                    <w:bottom w:val="none" w:sz="0" w:space="0" w:color="auto"/>
                    <w:right w:val="none" w:sz="0" w:space="0" w:color="auto"/>
                  </w:divBdr>
                </w:div>
              </w:divsChild>
            </w:div>
            <w:div w:id="808132489">
              <w:marLeft w:val="0"/>
              <w:marRight w:val="0"/>
              <w:marTop w:val="0"/>
              <w:marBottom w:val="0"/>
              <w:divBdr>
                <w:top w:val="none" w:sz="0" w:space="0" w:color="auto"/>
                <w:left w:val="none" w:sz="0" w:space="0" w:color="auto"/>
                <w:bottom w:val="none" w:sz="0" w:space="0" w:color="auto"/>
                <w:right w:val="none" w:sz="0" w:space="0" w:color="auto"/>
              </w:divBdr>
              <w:divsChild>
                <w:div w:id="1933322100">
                  <w:marLeft w:val="0"/>
                  <w:marRight w:val="0"/>
                  <w:marTop w:val="0"/>
                  <w:marBottom w:val="0"/>
                  <w:divBdr>
                    <w:top w:val="none" w:sz="0" w:space="0" w:color="auto"/>
                    <w:left w:val="none" w:sz="0" w:space="0" w:color="auto"/>
                    <w:bottom w:val="none" w:sz="0" w:space="0" w:color="auto"/>
                    <w:right w:val="none" w:sz="0" w:space="0" w:color="auto"/>
                  </w:divBdr>
                </w:div>
              </w:divsChild>
            </w:div>
            <w:div w:id="1483428361">
              <w:marLeft w:val="0"/>
              <w:marRight w:val="0"/>
              <w:marTop w:val="0"/>
              <w:marBottom w:val="0"/>
              <w:divBdr>
                <w:top w:val="none" w:sz="0" w:space="0" w:color="auto"/>
                <w:left w:val="none" w:sz="0" w:space="0" w:color="auto"/>
                <w:bottom w:val="none" w:sz="0" w:space="0" w:color="auto"/>
                <w:right w:val="none" w:sz="0" w:space="0" w:color="auto"/>
              </w:divBdr>
              <w:divsChild>
                <w:div w:id="1426270243">
                  <w:marLeft w:val="0"/>
                  <w:marRight w:val="0"/>
                  <w:marTop w:val="0"/>
                  <w:marBottom w:val="0"/>
                  <w:divBdr>
                    <w:top w:val="none" w:sz="0" w:space="0" w:color="auto"/>
                    <w:left w:val="none" w:sz="0" w:space="0" w:color="auto"/>
                    <w:bottom w:val="none" w:sz="0" w:space="0" w:color="auto"/>
                    <w:right w:val="none" w:sz="0" w:space="0" w:color="auto"/>
                  </w:divBdr>
                </w:div>
              </w:divsChild>
            </w:div>
            <w:div w:id="318076284">
              <w:marLeft w:val="0"/>
              <w:marRight w:val="0"/>
              <w:marTop w:val="0"/>
              <w:marBottom w:val="0"/>
              <w:divBdr>
                <w:top w:val="none" w:sz="0" w:space="0" w:color="auto"/>
                <w:left w:val="none" w:sz="0" w:space="0" w:color="auto"/>
                <w:bottom w:val="none" w:sz="0" w:space="0" w:color="auto"/>
                <w:right w:val="none" w:sz="0" w:space="0" w:color="auto"/>
              </w:divBdr>
              <w:divsChild>
                <w:div w:id="1035958414">
                  <w:marLeft w:val="0"/>
                  <w:marRight w:val="0"/>
                  <w:marTop w:val="0"/>
                  <w:marBottom w:val="0"/>
                  <w:divBdr>
                    <w:top w:val="none" w:sz="0" w:space="0" w:color="auto"/>
                    <w:left w:val="none" w:sz="0" w:space="0" w:color="auto"/>
                    <w:bottom w:val="none" w:sz="0" w:space="0" w:color="auto"/>
                    <w:right w:val="none" w:sz="0" w:space="0" w:color="auto"/>
                  </w:divBdr>
                </w:div>
              </w:divsChild>
            </w:div>
            <w:div w:id="880245137">
              <w:marLeft w:val="0"/>
              <w:marRight w:val="0"/>
              <w:marTop w:val="0"/>
              <w:marBottom w:val="0"/>
              <w:divBdr>
                <w:top w:val="none" w:sz="0" w:space="0" w:color="auto"/>
                <w:left w:val="none" w:sz="0" w:space="0" w:color="auto"/>
                <w:bottom w:val="none" w:sz="0" w:space="0" w:color="auto"/>
                <w:right w:val="none" w:sz="0" w:space="0" w:color="auto"/>
              </w:divBdr>
              <w:divsChild>
                <w:div w:id="1095400251">
                  <w:marLeft w:val="0"/>
                  <w:marRight w:val="0"/>
                  <w:marTop w:val="0"/>
                  <w:marBottom w:val="0"/>
                  <w:divBdr>
                    <w:top w:val="none" w:sz="0" w:space="0" w:color="auto"/>
                    <w:left w:val="none" w:sz="0" w:space="0" w:color="auto"/>
                    <w:bottom w:val="none" w:sz="0" w:space="0" w:color="auto"/>
                    <w:right w:val="none" w:sz="0" w:space="0" w:color="auto"/>
                  </w:divBdr>
                </w:div>
              </w:divsChild>
            </w:div>
            <w:div w:id="1623461172">
              <w:marLeft w:val="0"/>
              <w:marRight w:val="0"/>
              <w:marTop w:val="0"/>
              <w:marBottom w:val="0"/>
              <w:divBdr>
                <w:top w:val="none" w:sz="0" w:space="0" w:color="auto"/>
                <w:left w:val="none" w:sz="0" w:space="0" w:color="auto"/>
                <w:bottom w:val="none" w:sz="0" w:space="0" w:color="auto"/>
                <w:right w:val="none" w:sz="0" w:space="0" w:color="auto"/>
              </w:divBdr>
              <w:divsChild>
                <w:div w:id="1221356337">
                  <w:marLeft w:val="0"/>
                  <w:marRight w:val="0"/>
                  <w:marTop w:val="0"/>
                  <w:marBottom w:val="0"/>
                  <w:divBdr>
                    <w:top w:val="none" w:sz="0" w:space="0" w:color="auto"/>
                    <w:left w:val="none" w:sz="0" w:space="0" w:color="auto"/>
                    <w:bottom w:val="none" w:sz="0" w:space="0" w:color="auto"/>
                    <w:right w:val="none" w:sz="0" w:space="0" w:color="auto"/>
                  </w:divBdr>
                </w:div>
              </w:divsChild>
            </w:div>
            <w:div w:id="105274285">
              <w:marLeft w:val="0"/>
              <w:marRight w:val="0"/>
              <w:marTop w:val="0"/>
              <w:marBottom w:val="0"/>
              <w:divBdr>
                <w:top w:val="none" w:sz="0" w:space="0" w:color="auto"/>
                <w:left w:val="none" w:sz="0" w:space="0" w:color="auto"/>
                <w:bottom w:val="none" w:sz="0" w:space="0" w:color="auto"/>
                <w:right w:val="none" w:sz="0" w:space="0" w:color="auto"/>
              </w:divBdr>
              <w:divsChild>
                <w:div w:id="580914557">
                  <w:marLeft w:val="0"/>
                  <w:marRight w:val="0"/>
                  <w:marTop w:val="0"/>
                  <w:marBottom w:val="0"/>
                  <w:divBdr>
                    <w:top w:val="none" w:sz="0" w:space="0" w:color="auto"/>
                    <w:left w:val="none" w:sz="0" w:space="0" w:color="auto"/>
                    <w:bottom w:val="none" w:sz="0" w:space="0" w:color="auto"/>
                    <w:right w:val="none" w:sz="0" w:space="0" w:color="auto"/>
                  </w:divBdr>
                </w:div>
              </w:divsChild>
            </w:div>
            <w:div w:id="102573209">
              <w:marLeft w:val="0"/>
              <w:marRight w:val="0"/>
              <w:marTop w:val="0"/>
              <w:marBottom w:val="0"/>
              <w:divBdr>
                <w:top w:val="none" w:sz="0" w:space="0" w:color="auto"/>
                <w:left w:val="none" w:sz="0" w:space="0" w:color="auto"/>
                <w:bottom w:val="none" w:sz="0" w:space="0" w:color="auto"/>
                <w:right w:val="none" w:sz="0" w:space="0" w:color="auto"/>
              </w:divBdr>
              <w:divsChild>
                <w:div w:id="432625660">
                  <w:marLeft w:val="0"/>
                  <w:marRight w:val="0"/>
                  <w:marTop w:val="0"/>
                  <w:marBottom w:val="0"/>
                  <w:divBdr>
                    <w:top w:val="none" w:sz="0" w:space="0" w:color="auto"/>
                    <w:left w:val="none" w:sz="0" w:space="0" w:color="auto"/>
                    <w:bottom w:val="none" w:sz="0" w:space="0" w:color="auto"/>
                    <w:right w:val="none" w:sz="0" w:space="0" w:color="auto"/>
                  </w:divBdr>
                </w:div>
              </w:divsChild>
            </w:div>
            <w:div w:id="1055549413">
              <w:marLeft w:val="0"/>
              <w:marRight w:val="0"/>
              <w:marTop w:val="0"/>
              <w:marBottom w:val="0"/>
              <w:divBdr>
                <w:top w:val="none" w:sz="0" w:space="0" w:color="auto"/>
                <w:left w:val="none" w:sz="0" w:space="0" w:color="auto"/>
                <w:bottom w:val="none" w:sz="0" w:space="0" w:color="auto"/>
                <w:right w:val="none" w:sz="0" w:space="0" w:color="auto"/>
              </w:divBdr>
              <w:divsChild>
                <w:div w:id="328099715">
                  <w:marLeft w:val="0"/>
                  <w:marRight w:val="0"/>
                  <w:marTop w:val="0"/>
                  <w:marBottom w:val="0"/>
                  <w:divBdr>
                    <w:top w:val="none" w:sz="0" w:space="0" w:color="auto"/>
                    <w:left w:val="none" w:sz="0" w:space="0" w:color="auto"/>
                    <w:bottom w:val="none" w:sz="0" w:space="0" w:color="auto"/>
                    <w:right w:val="none" w:sz="0" w:space="0" w:color="auto"/>
                  </w:divBdr>
                </w:div>
              </w:divsChild>
            </w:div>
            <w:div w:id="593711365">
              <w:marLeft w:val="0"/>
              <w:marRight w:val="0"/>
              <w:marTop w:val="0"/>
              <w:marBottom w:val="0"/>
              <w:divBdr>
                <w:top w:val="none" w:sz="0" w:space="0" w:color="auto"/>
                <w:left w:val="none" w:sz="0" w:space="0" w:color="auto"/>
                <w:bottom w:val="none" w:sz="0" w:space="0" w:color="auto"/>
                <w:right w:val="none" w:sz="0" w:space="0" w:color="auto"/>
              </w:divBdr>
              <w:divsChild>
                <w:div w:id="5348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723">
          <w:marLeft w:val="0"/>
          <w:marRight w:val="0"/>
          <w:marTop w:val="0"/>
          <w:marBottom w:val="0"/>
          <w:divBdr>
            <w:top w:val="none" w:sz="0" w:space="0" w:color="auto"/>
            <w:left w:val="none" w:sz="0" w:space="0" w:color="auto"/>
            <w:bottom w:val="none" w:sz="0" w:space="0" w:color="auto"/>
            <w:right w:val="none" w:sz="0" w:space="0" w:color="auto"/>
          </w:divBdr>
          <w:divsChild>
            <w:div w:id="286935108">
              <w:marLeft w:val="0"/>
              <w:marRight w:val="0"/>
              <w:marTop w:val="0"/>
              <w:marBottom w:val="0"/>
              <w:divBdr>
                <w:top w:val="none" w:sz="0" w:space="0" w:color="auto"/>
                <w:left w:val="none" w:sz="0" w:space="0" w:color="auto"/>
                <w:bottom w:val="none" w:sz="0" w:space="0" w:color="auto"/>
                <w:right w:val="none" w:sz="0" w:space="0" w:color="auto"/>
              </w:divBdr>
              <w:divsChild>
                <w:div w:id="1356152433">
                  <w:marLeft w:val="0"/>
                  <w:marRight w:val="0"/>
                  <w:marTop w:val="0"/>
                  <w:marBottom w:val="0"/>
                  <w:divBdr>
                    <w:top w:val="none" w:sz="0" w:space="0" w:color="auto"/>
                    <w:left w:val="none" w:sz="0" w:space="0" w:color="auto"/>
                    <w:bottom w:val="none" w:sz="0" w:space="0" w:color="auto"/>
                    <w:right w:val="none" w:sz="0" w:space="0" w:color="auto"/>
                  </w:divBdr>
                </w:div>
              </w:divsChild>
            </w:div>
            <w:div w:id="413937237">
              <w:marLeft w:val="0"/>
              <w:marRight w:val="0"/>
              <w:marTop w:val="0"/>
              <w:marBottom w:val="0"/>
              <w:divBdr>
                <w:top w:val="none" w:sz="0" w:space="0" w:color="auto"/>
                <w:left w:val="none" w:sz="0" w:space="0" w:color="auto"/>
                <w:bottom w:val="none" w:sz="0" w:space="0" w:color="auto"/>
                <w:right w:val="none" w:sz="0" w:space="0" w:color="auto"/>
              </w:divBdr>
              <w:divsChild>
                <w:div w:id="1735198871">
                  <w:marLeft w:val="0"/>
                  <w:marRight w:val="0"/>
                  <w:marTop w:val="0"/>
                  <w:marBottom w:val="0"/>
                  <w:divBdr>
                    <w:top w:val="none" w:sz="0" w:space="0" w:color="auto"/>
                    <w:left w:val="none" w:sz="0" w:space="0" w:color="auto"/>
                    <w:bottom w:val="none" w:sz="0" w:space="0" w:color="auto"/>
                    <w:right w:val="none" w:sz="0" w:space="0" w:color="auto"/>
                  </w:divBdr>
                </w:div>
              </w:divsChild>
            </w:div>
            <w:div w:id="921255465">
              <w:marLeft w:val="0"/>
              <w:marRight w:val="0"/>
              <w:marTop w:val="0"/>
              <w:marBottom w:val="0"/>
              <w:divBdr>
                <w:top w:val="none" w:sz="0" w:space="0" w:color="auto"/>
                <w:left w:val="none" w:sz="0" w:space="0" w:color="auto"/>
                <w:bottom w:val="none" w:sz="0" w:space="0" w:color="auto"/>
                <w:right w:val="none" w:sz="0" w:space="0" w:color="auto"/>
              </w:divBdr>
              <w:divsChild>
                <w:div w:id="4040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2915">
      <w:bodyDiv w:val="1"/>
      <w:marLeft w:val="0"/>
      <w:marRight w:val="0"/>
      <w:marTop w:val="0"/>
      <w:marBottom w:val="0"/>
      <w:divBdr>
        <w:top w:val="none" w:sz="0" w:space="0" w:color="auto"/>
        <w:left w:val="none" w:sz="0" w:space="0" w:color="auto"/>
        <w:bottom w:val="none" w:sz="0" w:space="0" w:color="auto"/>
        <w:right w:val="none" w:sz="0" w:space="0" w:color="auto"/>
      </w:divBdr>
      <w:divsChild>
        <w:div w:id="1492797684">
          <w:marLeft w:val="547"/>
          <w:marRight w:val="0"/>
          <w:marTop w:val="0"/>
          <w:marBottom w:val="0"/>
          <w:divBdr>
            <w:top w:val="none" w:sz="0" w:space="0" w:color="auto"/>
            <w:left w:val="none" w:sz="0" w:space="0" w:color="auto"/>
            <w:bottom w:val="none" w:sz="0" w:space="0" w:color="auto"/>
            <w:right w:val="none" w:sz="0" w:space="0" w:color="auto"/>
          </w:divBdr>
        </w:div>
        <w:div w:id="477193145">
          <w:marLeft w:val="547"/>
          <w:marRight w:val="0"/>
          <w:marTop w:val="0"/>
          <w:marBottom w:val="0"/>
          <w:divBdr>
            <w:top w:val="none" w:sz="0" w:space="0" w:color="auto"/>
            <w:left w:val="none" w:sz="0" w:space="0" w:color="auto"/>
            <w:bottom w:val="none" w:sz="0" w:space="0" w:color="auto"/>
            <w:right w:val="none" w:sz="0" w:space="0" w:color="auto"/>
          </w:divBdr>
        </w:div>
        <w:div w:id="496460767">
          <w:marLeft w:val="547"/>
          <w:marRight w:val="0"/>
          <w:marTop w:val="0"/>
          <w:marBottom w:val="0"/>
          <w:divBdr>
            <w:top w:val="none" w:sz="0" w:space="0" w:color="auto"/>
            <w:left w:val="none" w:sz="0" w:space="0" w:color="auto"/>
            <w:bottom w:val="none" w:sz="0" w:space="0" w:color="auto"/>
            <w:right w:val="none" w:sz="0" w:space="0" w:color="auto"/>
          </w:divBdr>
        </w:div>
        <w:div w:id="1037434916">
          <w:marLeft w:val="547"/>
          <w:marRight w:val="0"/>
          <w:marTop w:val="0"/>
          <w:marBottom w:val="0"/>
          <w:divBdr>
            <w:top w:val="none" w:sz="0" w:space="0" w:color="auto"/>
            <w:left w:val="none" w:sz="0" w:space="0" w:color="auto"/>
            <w:bottom w:val="none" w:sz="0" w:space="0" w:color="auto"/>
            <w:right w:val="none" w:sz="0" w:space="0" w:color="auto"/>
          </w:divBdr>
        </w:div>
        <w:div w:id="1511799829">
          <w:marLeft w:val="547"/>
          <w:marRight w:val="0"/>
          <w:marTop w:val="0"/>
          <w:marBottom w:val="0"/>
          <w:divBdr>
            <w:top w:val="none" w:sz="0" w:space="0" w:color="auto"/>
            <w:left w:val="none" w:sz="0" w:space="0" w:color="auto"/>
            <w:bottom w:val="none" w:sz="0" w:space="0" w:color="auto"/>
            <w:right w:val="none" w:sz="0" w:space="0" w:color="auto"/>
          </w:divBdr>
        </w:div>
        <w:div w:id="736901409">
          <w:marLeft w:val="547"/>
          <w:marRight w:val="0"/>
          <w:marTop w:val="0"/>
          <w:marBottom w:val="0"/>
          <w:divBdr>
            <w:top w:val="none" w:sz="0" w:space="0" w:color="auto"/>
            <w:left w:val="none" w:sz="0" w:space="0" w:color="auto"/>
            <w:bottom w:val="none" w:sz="0" w:space="0" w:color="auto"/>
            <w:right w:val="none" w:sz="0" w:space="0" w:color="auto"/>
          </w:divBdr>
        </w:div>
      </w:divsChild>
    </w:div>
    <w:div w:id="1426925616">
      <w:bodyDiv w:val="1"/>
      <w:marLeft w:val="0"/>
      <w:marRight w:val="0"/>
      <w:marTop w:val="0"/>
      <w:marBottom w:val="0"/>
      <w:divBdr>
        <w:top w:val="none" w:sz="0" w:space="0" w:color="auto"/>
        <w:left w:val="none" w:sz="0" w:space="0" w:color="auto"/>
        <w:bottom w:val="none" w:sz="0" w:space="0" w:color="auto"/>
        <w:right w:val="none" w:sz="0" w:space="0" w:color="auto"/>
      </w:divBdr>
    </w:div>
    <w:div w:id="1448040642">
      <w:bodyDiv w:val="1"/>
      <w:marLeft w:val="0"/>
      <w:marRight w:val="0"/>
      <w:marTop w:val="0"/>
      <w:marBottom w:val="0"/>
      <w:divBdr>
        <w:top w:val="none" w:sz="0" w:space="0" w:color="auto"/>
        <w:left w:val="none" w:sz="0" w:space="0" w:color="auto"/>
        <w:bottom w:val="none" w:sz="0" w:space="0" w:color="auto"/>
        <w:right w:val="none" w:sz="0" w:space="0" w:color="auto"/>
      </w:divBdr>
    </w:div>
    <w:div w:id="1476140837">
      <w:bodyDiv w:val="1"/>
      <w:marLeft w:val="0"/>
      <w:marRight w:val="0"/>
      <w:marTop w:val="0"/>
      <w:marBottom w:val="0"/>
      <w:divBdr>
        <w:top w:val="none" w:sz="0" w:space="0" w:color="auto"/>
        <w:left w:val="none" w:sz="0" w:space="0" w:color="auto"/>
        <w:bottom w:val="none" w:sz="0" w:space="0" w:color="auto"/>
        <w:right w:val="none" w:sz="0" w:space="0" w:color="auto"/>
      </w:divBdr>
    </w:div>
    <w:div w:id="1829053392">
      <w:bodyDiv w:val="1"/>
      <w:marLeft w:val="0"/>
      <w:marRight w:val="0"/>
      <w:marTop w:val="0"/>
      <w:marBottom w:val="0"/>
      <w:divBdr>
        <w:top w:val="none" w:sz="0" w:space="0" w:color="auto"/>
        <w:left w:val="none" w:sz="0" w:space="0" w:color="auto"/>
        <w:bottom w:val="none" w:sz="0" w:space="0" w:color="auto"/>
        <w:right w:val="none" w:sz="0" w:space="0" w:color="auto"/>
      </w:divBdr>
      <w:divsChild>
        <w:div w:id="848914414">
          <w:marLeft w:val="806"/>
          <w:marRight w:val="0"/>
          <w:marTop w:val="270"/>
          <w:marBottom w:val="0"/>
          <w:divBdr>
            <w:top w:val="none" w:sz="0" w:space="0" w:color="auto"/>
            <w:left w:val="none" w:sz="0" w:space="0" w:color="auto"/>
            <w:bottom w:val="none" w:sz="0" w:space="0" w:color="auto"/>
            <w:right w:val="none" w:sz="0" w:space="0" w:color="auto"/>
          </w:divBdr>
        </w:div>
        <w:div w:id="964969367">
          <w:marLeft w:val="1080"/>
          <w:marRight w:val="0"/>
          <w:marTop w:val="120"/>
          <w:marBottom w:val="0"/>
          <w:divBdr>
            <w:top w:val="none" w:sz="0" w:space="0" w:color="auto"/>
            <w:left w:val="none" w:sz="0" w:space="0" w:color="auto"/>
            <w:bottom w:val="none" w:sz="0" w:space="0" w:color="auto"/>
            <w:right w:val="none" w:sz="0" w:space="0" w:color="auto"/>
          </w:divBdr>
        </w:div>
        <w:div w:id="1453746981">
          <w:marLeft w:val="1080"/>
          <w:marRight w:val="0"/>
          <w:marTop w:val="120"/>
          <w:marBottom w:val="0"/>
          <w:divBdr>
            <w:top w:val="none" w:sz="0" w:space="0" w:color="auto"/>
            <w:left w:val="none" w:sz="0" w:space="0" w:color="auto"/>
            <w:bottom w:val="none" w:sz="0" w:space="0" w:color="auto"/>
            <w:right w:val="none" w:sz="0" w:space="0" w:color="auto"/>
          </w:divBdr>
        </w:div>
        <w:div w:id="454058657">
          <w:marLeft w:val="1080"/>
          <w:marRight w:val="0"/>
          <w:marTop w:val="120"/>
          <w:marBottom w:val="0"/>
          <w:divBdr>
            <w:top w:val="none" w:sz="0" w:space="0" w:color="auto"/>
            <w:left w:val="none" w:sz="0" w:space="0" w:color="auto"/>
            <w:bottom w:val="none" w:sz="0" w:space="0" w:color="auto"/>
            <w:right w:val="none" w:sz="0" w:space="0" w:color="auto"/>
          </w:divBdr>
        </w:div>
      </w:divsChild>
    </w:div>
    <w:div w:id="1839926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ivs-abridge.com/index.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wts.org/p/about-u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ddb.apec.org/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a.doc.gov/td/ocg/wwtg.htm" TargetMode="External"/><Relationship Id="rId5" Type="http://schemas.openxmlformats.org/officeDocument/2006/relationships/webSettings" Target="webSettings.xml"/><Relationship Id="rId15" Type="http://schemas.openxmlformats.org/officeDocument/2006/relationships/hyperlink" Target="http://wineregulatoryforum.blogspot.com/" TargetMode="External"/><Relationship Id="rId10" Type="http://schemas.openxmlformats.org/officeDocument/2006/relationships/hyperlink" Target="http://wineregulatoryforum.blogspo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218E1.4CD79230" TargetMode="External"/><Relationship Id="rId14" Type="http://schemas.openxmlformats.org/officeDocument/2006/relationships/hyperlink" Target="http://www.interwinery.com.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pec.org/Press/News-Releases/2016/0707_wine.aspx" TargetMode="External"/><Relationship Id="rId1" Type="http://schemas.openxmlformats.org/officeDocument/2006/relationships/hyperlink" Target="http://www.fivs-ap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53D57-F702-427E-9BD8-E24C2D15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ITA/OCIO</Company>
  <LinksUpToDate>false</LinksUpToDate>
  <CharactersWithSpaces>17369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LaFaille</dc:creator>
  <cp:keywords/>
  <dc:description/>
  <cp:lastModifiedBy>Jamie Ferman</cp:lastModifiedBy>
  <cp:revision>2</cp:revision>
  <cp:lastPrinted>2016-10-11T17:17:00Z</cp:lastPrinted>
  <dcterms:created xsi:type="dcterms:W3CDTF">2016-11-21T16:17:00Z</dcterms:created>
  <dcterms:modified xsi:type="dcterms:W3CDTF">2016-11-21T16:17:00Z</dcterms:modified>
</cp:coreProperties>
</file>