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2C7FC" w14:textId="77777777" w:rsidR="007C6361" w:rsidRPr="00A1425D" w:rsidRDefault="007C6361" w:rsidP="007C6361">
      <w:pPr>
        <w:pStyle w:val="Header"/>
        <w:adjustRightInd w:val="0"/>
        <w:snapToGrid w:val="0"/>
        <w:spacing w:after="0" w:line="240" w:lineRule="auto"/>
        <w:jc w:val="center"/>
        <w:rPr>
          <w:rFonts w:eastAsia="??"/>
        </w:rPr>
      </w:pPr>
      <w:r w:rsidRPr="00291419">
        <w:rPr>
          <w:noProof/>
        </w:rPr>
        <w:pict w14:anchorId="65B54E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APEC logo_vertical x250" style="width:2in;height:83.5pt;visibility:visible">
            <v:imagedata r:id="rId11" o:title=""/>
          </v:shape>
        </w:pict>
      </w:r>
    </w:p>
    <w:p w14:paraId="1C4EED42" w14:textId="77777777" w:rsidR="007C6361" w:rsidRPr="00C350BA" w:rsidRDefault="007C6361" w:rsidP="007C6361">
      <w:pPr>
        <w:pStyle w:val="Header"/>
        <w:adjustRightInd w:val="0"/>
        <w:snapToGrid w:val="0"/>
        <w:spacing w:after="0" w:line="240" w:lineRule="auto"/>
        <w:jc w:val="center"/>
        <w:rPr>
          <w:noProof/>
        </w:rPr>
      </w:pPr>
      <w:r w:rsidRPr="00C350BA">
        <w:rPr>
          <w:noProof/>
        </w:rPr>
        <w:t>______________________________________________</w:t>
      </w:r>
      <w:r>
        <w:rPr>
          <w:noProof/>
        </w:rPr>
        <w:t>_______</w:t>
      </w:r>
      <w:r w:rsidRPr="00C350BA">
        <w:rPr>
          <w:noProof/>
        </w:rPr>
        <w:t>_____________________________</w:t>
      </w:r>
    </w:p>
    <w:p w14:paraId="1AF0C73C" w14:textId="77777777" w:rsidR="007C6361" w:rsidRPr="003B0788" w:rsidRDefault="007C6361" w:rsidP="007C6361">
      <w:pPr>
        <w:adjustRightInd w:val="0"/>
        <w:snapToGrid w:val="0"/>
        <w:spacing w:after="0" w:line="240" w:lineRule="auto"/>
        <w:jc w:val="right"/>
        <w:rPr>
          <w:rFonts w:ascii="Arial" w:eastAsia="??" w:hAnsi="Arial" w:cs="Arial"/>
          <w:b/>
          <w:sz w:val="28"/>
          <w:szCs w:val="28"/>
        </w:rPr>
      </w:pPr>
      <w:r>
        <w:rPr>
          <w:rFonts w:ascii="Arial" w:eastAsia="??" w:hAnsi="Arial" w:cs="Arial"/>
          <w:b/>
          <w:sz w:val="28"/>
          <w:szCs w:val="28"/>
        </w:rPr>
        <w:t>2011/SOM3/SCSC/055</w:t>
      </w:r>
    </w:p>
    <w:p w14:paraId="2217FC80" w14:textId="77777777" w:rsidR="007C6361" w:rsidRPr="003B0788" w:rsidRDefault="007C6361" w:rsidP="007C6361">
      <w:pPr>
        <w:adjustRightInd w:val="0"/>
        <w:snapToGrid w:val="0"/>
        <w:spacing w:after="0" w:line="240" w:lineRule="auto"/>
        <w:jc w:val="right"/>
        <w:rPr>
          <w:rFonts w:ascii="Arial" w:hAnsi="Arial" w:cs="Arial"/>
          <w:sz w:val="28"/>
          <w:szCs w:val="28"/>
        </w:rPr>
      </w:pPr>
      <w:r>
        <w:rPr>
          <w:rFonts w:ascii="Arial" w:eastAsia="??" w:hAnsi="Arial" w:cs="Arial"/>
          <w:sz w:val="28"/>
          <w:szCs w:val="28"/>
        </w:rPr>
        <w:t xml:space="preserve">Agenda Item: </w:t>
      </w:r>
      <w:r w:rsidRPr="00ED181B">
        <w:rPr>
          <w:rFonts w:ascii="Arial" w:eastAsia="??" w:hAnsi="Arial" w:cs="Arial"/>
          <w:sz w:val="28"/>
          <w:szCs w:val="28"/>
        </w:rPr>
        <w:t>4(8)</w:t>
      </w:r>
      <w:r>
        <w:rPr>
          <w:rFonts w:ascii="Arial" w:eastAsia="??" w:hAnsi="Arial" w:cs="Arial"/>
          <w:sz w:val="28"/>
          <w:szCs w:val="28"/>
        </w:rPr>
        <w:t xml:space="preserve"> </w:t>
      </w:r>
    </w:p>
    <w:p w14:paraId="0D3E7AB8" w14:textId="77777777" w:rsidR="007C6361" w:rsidRPr="003B0788" w:rsidRDefault="007C6361" w:rsidP="007C6361">
      <w:pPr>
        <w:adjustRightInd w:val="0"/>
        <w:snapToGrid w:val="0"/>
        <w:spacing w:after="0" w:line="240" w:lineRule="auto"/>
        <w:rPr>
          <w:rFonts w:ascii="Arial" w:hAnsi="Arial" w:cs="Arial"/>
          <w:sz w:val="28"/>
          <w:szCs w:val="28"/>
        </w:rPr>
      </w:pPr>
    </w:p>
    <w:p w14:paraId="30F68B82" w14:textId="77777777" w:rsidR="007C6361" w:rsidRPr="003B0788" w:rsidRDefault="007C6361" w:rsidP="007C6361">
      <w:pPr>
        <w:adjustRightInd w:val="0"/>
        <w:snapToGrid w:val="0"/>
        <w:spacing w:after="0" w:line="240" w:lineRule="auto"/>
        <w:rPr>
          <w:rFonts w:ascii="Arial" w:hAnsi="Arial" w:cs="Arial"/>
          <w:sz w:val="28"/>
          <w:szCs w:val="28"/>
        </w:rPr>
      </w:pPr>
    </w:p>
    <w:p w14:paraId="7D52C992" w14:textId="77777777" w:rsidR="007C6361" w:rsidRPr="003B0788" w:rsidRDefault="007C6361" w:rsidP="007C6361">
      <w:pPr>
        <w:tabs>
          <w:tab w:val="left" w:pos="8310"/>
        </w:tabs>
        <w:adjustRightInd w:val="0"/>
        <w:snapToGrid w:val="0"/>
        <w:spacing w:after="0" w:line="240" w:lineRule="auto"/>
        <w:rPr>
          <w:rFonts w:ascii="Arial" w:eastAsia="??" w:hAnsi="Arial" w:cs="Arial"/>
          <w:b/>
          <w:sz w:val="28"/>
          <w:szCs w:val="28"/>
        </w:rPr>
      </w:pPr>
    </w:p>
    <w:p w14:paraId="6C0BF3F3" w14:textId="77777777" w:rsidR="007C6361" w:rsidRPr="003B0788" w:rsidRDefault="007C6361" w:rsidP="007C6361">
      <w:pPr>
        <w:adjustRightInd w:val="0"/>
        <w:snapToGrid w:val="0"/>
        <w:spacing w:after="0" w:line="240" w:lineRule="auto"/>
        <w:jc w:val="center"/>
        <w:rPr>
          <w:rFonts w:ascii="Arial" w:eastAsia="??" w:hAnsi="Arial" w:cs="Arial"/>
          <w:b/>
          <w:sz w:val="28"/>
          <w:szCs w:val="28"/>
        </w:rPr>
      </w:pPr>
    </w:p>
    <w:p w14:paraId="219AB2AE" w14:textId="77777777" w:rsidR="007C6361" w:rsidRPr="003B0788" w:rsidRDefault="007C6361" w:rsidP="007C6361">
      <w:pPr>
        <w:adjustRightInd w:val="0"/>
        <w:snapToGrid w:val="0"/>
        <w:spacing w:after="0" w:line="240" w:lineRule="auto"/>
        <w:jc w:val="center"/>
        <w:rPr>
          <w:rFonts w:ascii="Arial" w:eastAsia="??" w:hAnsi="Arial" w:cs="Arial"/>
          <w:b/>
          <w:sz w:val="28"/>
          <w:szCs w:val="28"/>
        </w:rPr>
      </w:pPr>
    </w:p>
    <w:p w14:paraId="46C58B5C" w14:textId="77777777" w:rsidR="007C6361" w:rsidRDefault="007C6361" w:rsidP="007C6361">
      <w:pPr>
        <w:tabs>
          <w:tab w:val="left" w:pos="0"/>
          <w:tab w:val="left" w:pos="1134"/>
        </w:tabs>
        <w:adjustRightInd w:val="0"/>
        <w:snapToGrid w:val="0"/>
        <w:spacing w:after="0" w:line="240" w:lineRule="auto"/>
        <w:jc w:val="center"/>
        <w:rPr>
          <w:rFonts w:ascii="Arial" w:hAnsi="Arial" w:cs="Arial"/>
          <w:b/>
          <w:sz w:val="36"/>
          <w:szCs w:val="36"/>
        </w:rPr>
      </w:pPr>
      <w:r w:rsidRPr="00ED181B">
        <w:rPr>
          <w:rFonts w:ascii="Arial" w:hAnsi="Arial" w:cs="Arial"/>
          <w:b/>
          <w:sz w:val="36"/>
          <w:szCs w:val="36"/>
        </w:rPr>
        <w:t>APEC Wine Regulatory Forum Report</w:t>
      </w:r>
    </w:p>
    <w:p w14:paraId="23803392" w14:textId="77777777" w:rsidR="007C6361" w:rsidRPr="0096049C" w:rsidRDefault="007C6361" w:rsidP="007C6361">
      <w:pPr>
        <w:tabs>
          <w:tab w:val="left" w:pos="0"/>
          <w:tab w:val="left" w:pos="1134"/>
        </w:tabs>
        <w:adjustRightInd w:val="0"/>
        <w:snapToGrid w:val="0"/>
        <w:spacing w:after="0" w:line="240" w:lineRule="auto"/>
        <w:jc w:val="center"/>
        <w:rPr>
          <w:rFonts w:ascii="Arial" w:hAnsi="Arial" w:cs="Arial"/>
          <w:b/>
          <w:sz w:val="28"/>
          <w:szCs w:val="28"/>
        </w:rPr>
      </w:pPr>
    </w:p>
    <w:p w14:paraId="08473824" w14:textId="77777777" w:rsidR="007C6361" w:rsidRPr="008218FC" w:rsidRDefault="007C6361" w:rsidP="007C6361">
      <w:pPr>
        <w:adjustRightInd w:val="0"/>
        <w:snapToGrid w:val="0"/>
        <w:spacing w:after="0" w:line="240" w:lineRule="auto"/>
        <w:jc w:val="center"/>
        <w:rPr>
          <w:rFonts w:ascii="Arial" w:eastAsia="??" w:hAnsi="Arial" w:cs="Arial"/>
          <w:sz w:val="28"/>
          <w:szCs w:val="28"/>
        </w:rPr>
      </w:pPr>
      <w:r w:rsidRPr="008218FC">
        <w:rPr>
          <w:rFonts w:ascii="Arial" w:eastAsia="??" w:hAnsi="Arial" w:cs="Arial"/>
          <w:sz w:val="28"/>
          <w:szCs w:val="28"/>
        </w:rPr>
        <w:t>Purpose</w:t>
      </w:r>
      <w:r>
        <w:rPr>
          <w:rFonts w:ascii="Arial" w:eastAsia="??" w:hAnsi="Arial" w:cs="Arial"/>
          <w:sz w:val="28"/>
          <w:szCs w:val="28"/>
        </w:rPr>
        <w:t>: Information</w:t>
      </w:r>
    </w:p>
    <w:p w14:paraId="2F417739" w14:textId="77777777" w:rsidR="007C6361" w:rsidRDefault="007C6361" w:rsidP="007C6361">
      <w:pPr>
        <w:pStyle w:val="Heading7"/>
        <w:adjustRightInd w:val="0"/>
        <w:snapToGrid w:val="0"/>
        <w:spacing w:before="0" w:after="0" w:line="240" w:lineRule="auto"/>
        <w:jc w:val="center"/>
        <w:rPr>
          <w:rFonts w:ascii="Arial" w:hAnsi="Arial" w:cs="Arial"/>
          <w:sz w:val="28"/>
          <w:szCs w:val="28"/>
        </w:rPr>
      </w:pPr>
      <w:r>
        <w:rPr>
          <w:rFonts w:ascii="Arial" w:hAnsi="Arial" w:cs="Arial"/>
          <w:sz w:val="28"/>
          <w:szCs w:val="28"/>
        </w:rPr>
        <w:t xml:space="preserve">Submitted by: </w:t>
      </w:r>
      <w:smartTag w:uri="urn:schemas-microsoft-com:office:smarttags" w:element="place">
        <w:smartTag w:uri="urn:schemas-microsoft-com:office:smarttags" w:element="country-region">
          <w:r>
            <w:rPr>
              <w:rFonts w:ascii="Arial" w:hAnsi="Arial" w:cs="Arial"/>
              <w:sz w:val="28"/>
              <w:szCs w:val="28"/>
            </w:rPr>
            <w:t>United States</w:t>
          </w:r>
        </w:smartTag>
      </w:smartTag>
    </w:p>
    <w:p w14:paraId="7D879DBF" w14:textId="77777777" w:rsidR="007C6361" w:rsidRDefault="007C6361" w:rsidP="007C6361">
      <w:pPr>
        <w:pStyle w:val="Header"/>
        <w:tabs>
          <w:tab w:val="left" w:pos="851"/>
          <w:tab w:val="left" w:pos="6237"/>
        </w:tabs>
        <w:adjustRightInd w:val="0"/>
        <w:snapToGrid w:val="0"/>
        <w:spacing w:after="0" w:line="240" w:lineRule="auto"/>
        <w:rPr>
          <w:rFonts w:ascii="Arial" w:hAnsi="Arial" w:cs="Arial"/>
          <w:sz w:val="6"/>
          <w:szCs w:val="6"/>
        </w:rPr>
      </w:pPr>
    </w:p>
    <w:p w14:paraId="56BB92A2" w14:textId="77777777" w:rsidR="007C6361" w:rsidRDefault="007C6361" w:rsidP="007C6361">
      <w:pPr>
        <w:pStyle w:val="Header"/>
        <w:tabs>
          <w:tab w:val="left" w:pos="851"/>
          <w:tab w:val="left" w:pos="6237"/>
        </w:tabs>
        <w:adjustRightInd w:val="0"/>
        <w:snapToGrid w:val="0"/>
        <w:spacing w:after="0" w:line="240" w:lineRule="auto"/>
        <w:rPr>
          <w:rFonts w:ascii="Arial" w:hAnsi="Arial" w:cs="Arial"/>
          <w:sz w:val="6"/>
          <w:szCs w:val="6"/>
        </w:rPr>
      </w:pPr>
    </w:p>
    <w:p w14:paraId="74F54091" w14:textId="77777777" w:rsidR="007C6361" w:rsidRDefault="007C6361" w:rsidP="007C6361">
      <w:pPr>
        <w:pStyle w:val="Header"/>
        <w:tabs>
          <w:tab w:val="left" w:pos="851"/>
          <w:tab w:val="left" w:pos="6237"/>
        </w:tabs>
        <w:adjustRightInd w:val="0"/>
        <w:snapToGrid w:val="0"/>
        <w:spacing w:after="0" w:line="240" w:lineRule="auto"/>
        <w:rPr>
          <w:rFonts w:ascii="Arial" w:hAnsi="Arial" w:cs="Arial"/>
          <w:sz w:val="6"/>
          <w:szCs w:val="6"/>
        </w:rPr>
      </w:pPr>
    </w:p>
    <w:p w14:paraId="7FBAF435" w14:textId="77777777" w:rsidR="007C6361" w:rsidRDefault="007C6361" w:rsidP="007C6361">
      <w:pPr>
        <w:pStyle w:val="Header"/>
        <w:tabs>
          <w:tab w:val="left" w:pos="851"/>
          <w:tab w:val="left" w:pos="6237"/>
        </w:tabs>
        <w:adjustRightInd w:val="0"/>
        <w:snapToGrid w:val="0"/>
        <w:spacing w:after="0" w:line="240" w:lineRule="auto"/>
        <w:rPr>
          <w:rFonts w:ascii="Arial" w:hAnsi="Arial" w:cs="Arial"/>
          <w:sz w:val="6"/>
          <w:szCs w:val="6"/>
        </w:rPr>
      </w:pPr>
    </w:p>
    <w:p w14:paraId="42378712" w14:textId="77777777" w:rsidR="007C6361" w:rsidRDefault="007C6361" w:rsidP="007C6361">
      <w:pPr>
        <w:pStyle w:val="Header"/>
        <w:tabs>
          <w:tab w:val="left" w:pos="851"/>
          <w:tab w:val="left" w:pos="6237"/>
        </w:tabs>
        <w:adjustRightInd w:val="0"/>
        <w:snapToGrid w:val="0"/>
        <w:spacing w:after="0" w:line="240" w:lineRule="auto"/>
        <w:rPr>
          <w:rFonts w:ascii="Arial" w:hAnsi="Arial" w:cs="Arial"/>
          <w:sz w:val="6"/>
          <w:szCs w:val="6"/>
        </w:rPr>
      </w:pPr>
    </w:p>
    <w:p w14:paraId="67459414" w14:textId="77777777" w:rsidR="007C6361" w:rsidRDefault="007C6361" w:rsidP="007C6361">
      <w:pPr>
        <w:pStyle w:val="Header"/>
        <w:tabs>
          <w:tab w:val="left" w:pos="851"/>
          <w:tab w:val="left" w:pos="6237"/>
        </w:tabs>
        <w:adjustRightInd w:val="0"/>
        <w:snapToGrid w:val="0"/>
        <w:spacing w:after="0" w:line="240" w:lineRule="auto"/>
        <w:rPr>
          <w:rFonts w:ascii="Arial" w:hAnsi="Arial" w:cs="Arial"/>
          <w:sz w:val="6"/>
          <w:szCs w:val="6"/>
        </w:rPr>
      </w:pPr>
    </w:p>
    <w:p w14:paraId="734EBB99" w14:textId="77777777" w:rsidR="007C6361" w:rsidRDefault="007C6361" w:rsidP="007C6361">
      <w:pPr>
        <w:pStyle w:val="Header"/>
        <w:tabs>
          <w:tab w:val="left" w:pos="851"/>
          <w:tab w:val="left" w:pos="6237"/>
        </w:tabs>
        <w:adjustRightInd w:val="0"/>
        <w:snapToGrid w:val="0"/>
        <w:spacing w:after="0" w:line="240" w:lineRule="auto"/>
        <w:rPr>
          <w:rFonts w:ascii="Arial" w:hAnsi="Arial" w:cs="Arial"/>
          <w:sz w:val="6"/>
          <w:szCs w:val="6"/>
        </w:rPr>
      </w:pPr>
    </w:p>
    <w:p w14:paraId="2E7FD1D9" w14:textId="77777777" w:rsidR="007C6361" w:rsidRDefault="007C6361" w:rsidP="007C6361">
      <w:pPr>
        <w:pStyle w:val="Header"/>
        <w:tabs>
          <w:tab w:val="left" w:pos="851"/>
          <w:tab w:val="left" w:pos="6237"/>
        </w:tabs>
        <w:adjustRightInd w:val="0"/>
        <w:snapToGrid w:val="0"/>
        <w:spacing w:after="0" w:line="240" w:lineRule="auto"/>
        <w:rPr>
          <w:rFonts w:ascii="Arial" w:hAnsi="Arial" w:cs="Arial"/>
          <w:sz w:val="6"/>
          <w:szCs w:val="6"/>
        </w:rPr>
      </w:pPr>
    </w:p>
    <w:p w14:paraId="78A22FA5" w14:textId="77777777" w:rsidR="007C6361" w:rsidRDefault="007C6361" w:rsidP="007C6361">
      <w:pPr>
        <w:pStyle w:val="Header"/>
        <w:tabs>
          <w:tab w:val="left" w:pos="851"/>
          <w:tab w:val="left" w:pos="6237"/>
        </w:tabs>
        <w:adjustRightInd w:val="0"/>
        <w:snapToGrid w:val="0"/>
        <w:spacing w:after="0" w:line="240" w:lineRule="auto"/>
        <w:rPr>
          <w:rFonts w:ascii="Arial" w:hAnsi="Arial" w:cs="Arial"/>
          <w:sz w:val="6"/>
          <w:szCs w:val="6"/>
        </w:rPr>
      </w:pPr>
    </w:p>
    <w:p w14:paraId="010AC787" w14:textId="77777777" w:rsidR="007C6361" w:rsidRDefault="007C6361" w:rsidP="007C6361">
      <w:pPr>
        <w:pStyle w:val="Header"/>
        <w:tabs>
          <w:tab w:val="left" w:pos="851"/>
          <w:tab w:val="left" w:pos="6237"/>
        </w:tabs>
        <w:adjustRightInd w:val="0"/>
        <w:snapToGrid w:val="0"/>
        <w:spacing w:after="0" w:line="240" w:lineRule="auto"/>
        <w:rPr>
          <w:rFonts w:ascii="Arial" w:hAnsi="Arial" w:cs="Arial"/>
          <w:sz w:val="6"/>
          <w:szCs w:val="6"/>
        </w:rPr>
      </w:pPr>
    </w:p>
    <w:p w14:paraId="15953FD1" w14:textId="77777777" w:rsidR="007C6361" w:rsidRPr="000C39C9" w:rsidRDefault="007C6361" w:rsidP="007C6361">
      <w:pPr>
        <w:pStyle w:val="Header"/>
        <w:tabs>
          <w:tab w:val="left" w:pos="851"/>
          <w:tab w:val="left" w:pos="6237"/>
        </w:tabs>
        <w:adjustRightInd w:val="0"/>
        <w:snapToGrid w:val="0"/>
        <w:spacing w:after="0" w:line="240" w:lineRule="auto"/>
        <w:rPr>
          <w:rFonts w:ascii="Arial" w:hAnsi="Arial" w:cs="Arial"/>
          <w:b/>
          <w:sz w:val="36"/>
          <w:szCs w:val="36"/>
        </w:rPr>
      </w:pPr>
      <w:r>
        <w:rPr>
          <w:rFonts w:ascii="Arial" w:hAnsi="Arial" w:cs="Arial"/>
          <w:sz w:val="6"/>
          <w:szCs w:val="6"/>
        </w:rPr>
        <w:br/>
      </w:r>
    </w:p>
    <w:p w14:paraId="19BDEA21" w14:textId="77777777" w:rsidR="007C6361" w:rsidRDefault="007C6361" w:rsidP="007C6361">
      <w:pPr>
        <w:pStyle w:val="Header"/>
        <w:tabs>
          <w:tab w:val="left" w:pos="851"/>
          <w:tab w:val="left" w:pos="6237"/>
        </w:tabs>
        <w:adjustRightInd w:val="0"/>
        <w:snapToGrid w:val="0"/>
        <w:spacing w:after="0" w:line="240" w:lineRule="auto"/>
        <w:rPr>
          <w:rFonts w:ascii="Arial" w:hAnsi="Arial" w:cs="Arial"/>
          <w:sz w:val="6"/>
          <w:szCs w:val="6"/>
        </w:rPr>
      </w:pPr>
    </w:p>
    <w:p w14:paraId="25CBB19E" w14:textId="77777777" w:rsidR="007C6361" w:rsidRDefault="007C6361" w:rsidP="007C6361">
      <w:pPr>
        <w:pStyle w:val="Header"/>
        <w:tabs>
          <w:tab w:val="left" w:pos="851"/>
          <w:tab w:val="left" w:pos="6237"/>
        </w:tabs>
        <w:adjustRightInd w:val="0"/>
        <w:snapToGrid w:val="0"/>
        <w:spacing w:after="0" w:line="240" w:lineRule="auto"/>
        <w:rPr>
          <w:rFonts w:ascii="Arial" w:hAnsi="Arial" w:cs="Arial"/>
          <w:sz w:val="6"/>
          <w:szCs w:val="6"/>
        </w:rPr>
      </w:pPr>
    </w:p>
    <w:p w14:paraId="1269D062" w14:textId="77777777" w:rsidR="007C6361" w:rsidRDefault="007C6361" w:rsidP="007C6361">
      <w:pPr>
        <w:pStyle w:val="Header"/>
        <w:tabs>
          <w:tab w:val="left" w:pos="851"/>
          <w:tab w:val="left" w:pos="6237"/>
        </w:tabs>
        <w:adjustRightInd w:val="0"/>
        <w:snapToGrid w:val="0"/>
        <w:spacing w:after="0" w:line="240" w:lineRule="auto"/>
        <w:rPr>
          <w:rFonts w:ascii="Arial" w:hAnsi="Arial" w:cs="Arial"/>
          <w:sz w:val="6"/>
          <w:szCs w:val="6"/>
        </w:rPr>
      </w:pPr>
    </w:p>
    <w:p w14:paraId="006BF07F" w14:textId="77777777" w:rsidR="007C6361" w:rsidRDefault="007C6361" w:rsidP="007C6361">
      <w:pPr>
        <w:pStyle w:val="Header"/>
        <w:tabs>
          <w:tab w:val="left" w:pos="851"/>
          <w:tab w:val="left" w:pos="6237"/>
        </w:tabs>
        <w:adjustRightInd w:val="0"/>
        <w:snapToGrid w:val="0"/>
        <w:spacing w:after="0" w:line="240" w:lineRule="auto"/>
        <w:rPr>
          <w:rFonts w:ascii="Arial" w:hAnsi="Arial" w:cs="Arial"/>
          <w:sz w:val="6"/>
          <w:szCs w:val="6"/>
        </w:rPr>
      </w:pPr>
    </w:p>
    <w:p w14:paraId="47F5EC66" w14:textId="77777777" w:rsidR="007C6361" w:rsidRDefault="007C6361" w:rsidP="007C6361">
      <w:pPr>
        <w:pStyle w:val="Header"/>
        <w:tabs>
          <w:tab w:val="left" w:pos="851"/>
          <w:tab w:val="left" w:pos="6237"/>
        </w:tabs>
        <w:adjustRightInd w:val="0"/>
        <w:snapToGrid w:val="0"/>
        <w:spacing w:after="0" w:line="240" w:lineRule="auto"/>
        <w:rPr>
          <w:rFonts w:ascii="Arial" w:hAnsi="Arial" w:cs="Arial"/>
          <w:sz w:val="6"/>
          <w:szCs w:val="6"/>
        </w:rPr>
      </w:pPr>
    </w:p>
    <w:p w14:paraId="407AE65A" w14:textId="77777777" w:rsidR="007C6361" w:rsidRDefault="007C6361" w:rsidP="007C6361">
      <w:pPr>
        <w:pStyle w:val="Header"/>
        <w:tabs>
          <w:tab w:val="left" w:pos="851"/>
          <w:tab w:val="left" w:pos="6237"/>
        </w:tabs>
        <w:adjustRightInd w:val="0"/>
        <w:snapToGrid w:val="0"/>
        <w:spacing w:after="0" w:line="240" w:lineRule="auto"/>
        <w:rPr>
          <w:rFonts w:ascii="Arial" w:hAnsi="Arial" w:cs="Arial"/>
          <w:sz w:val="6"/>
          <w:szCs w:val="6"/>
        </w:rPr>
      </w:pPr>
    </w:p>
    <w:p w14:paraId="45E3D77F" w14:textId="77777777" w:rsidR="007C6361" w:rsidRDefault="007C6361" w:rsidP="007C6361">
      <w:pPr>
        <w:pStyle w:val="Header"/>
        <w:tabs>
          <w:tab w:val="left" w:pos="851"/>
          <w:tab w:val="left" w:pos="6237"/>
        </w:tabs>
        <w:adjustRightInd w:val="0"/>
        <w:snapToGrid w:val="0"/>
        <w:spacing w:after="0" w:line="240" w:lineRule="auto"/>
        <w:rPr>
          <w:rFonts w:ascii="Arial" w:hAnsi="Arial" w:cs="Arial"/>
          <w:sz w:val="6"/>
          <w:szCs w:val="6"/>
        </w:rPr>
      </w:pPr>
    </w:p>
    <w:p w14:paraId="50CF03F2" w14:textId="77777777" w:rsidR="007C6361" w:rsidRDefault="007C6361" w:rsidP="007C6361">
      <w:pPr>
        <w:pStyle w:val="Header"/>
        <w:tabs>
          <w:tab w:val="left" w:pos="851"/>
          <w:tab w:val="left" w:pos="6237"/>
        </w:tabs>
        <w:adjustRightInd w:val="0"/>
        <w:snapToGrid w:val="0"/>
        <w:spacing w:after="0" w:line="240" w:lineRule="auto"/>
        <w:rPr>
          <w:rFonts w:ascii="Arial" w:hAnsi="Arial" w:cs="Arial"/>
          <w:sz w:val="6"/>
          <w:szCs w:val="6"/>
        </w:rPr>
      </w:pPr>
    </w:p>
    <w:p w14:paraId="30D72877" w14:textId="77777777" w:rsidR="007C6361" w:rsidRDefault="007C6361" w:rsidP="007C6361">
      <w:pPr>
        <w:pStyle w:val="Header"/>
        <w:tabs>
          <w:tab w:val="left" w:pos="851"/>
          <w:tab w:val="left" w:pos="6237"/>
        </w:tabs>
        <w:adjustRightInd w:val="0"/>
        <w:snapToGrid w:val="0"/>
        <w:spacing w:after="0" w:line="240" w:lineRule="auto"/>
        <w:rPr>
          <w:rFonts w:ascii="Arial" w:hAnsi="Arial" w:cs="Arial"/>
          <w:sz w:val="6"/>
          <w:szCs w:val="6"/>
        </w:rPr>
      </w:pPr>
    </w:p>
    <w:p w14:paraId="493836FF" w14:textId="77777777" w:rsidR="007C6361" w:rsidRDefault="007C6361" w:rsidP="007C6361">
      <w:pPr>
        <w:pStyle w:val="Header"/>
        <w:tabs>
          <w:tab w:val="left" w:pos="851"/>
          <w:tab w:val="left" w:pos="6237"/>
        </w:tabs>
        <w:adjustRightInd w:val="0"/>
        <w:snapToGrid w:val="0"/>
        <w:spacing w:after="0" w:line="240" w:lineRule="auto"/>
        <w:rPr>
          <w:rFonts w:ascii="Arial" w:hAnsi="Arial" w:cs="Arial"/>
          <w:sz w:val="6"/>
          <w:szCs w:val="6"/>
        </w:rPr>
      </w:pPr>
    </w:p>
    <w:p w14:paraId="0CA29F58" w14:textId="77777777" w:rsidR="007C6361" w:rsidRDefault="007C6361" w:rsidP="007C6361">
      <w:pPr>
        <w:pStyle w:val="Header"/>
        <w:tabs>
          <w:tab w:val="left" w:pos="851"/>
          <w:tab w:val="left" w:pos="6237"/>
        </w:tabs>
        <w:adjustRightInd w:val="0"/>
        <w:snapToGrid w:val="0"/>
        <w:spacing w:after="0" w:line="240" w:lineRule="auto"/>
        <w:rPr>
          <w:rFonts w:ascii="Arial" w:hAnsi="Arial" w:cs="Arial"/>
          <w:sz w:val="6"/>
          <w:szCs w:val="6"/>
        </w:rPr>
      </w:pPr>
    </w:p>
    <w:p w14:paraId="55C7AA1D" w14:textId="77777777" w:rsidR="007C6361" w:rsidRDefault="007C6361" w:rsidP="007C6361">
      <w:pPr>
        <w:pStyle w:val="Header"/>
        <w:tabs>
          <w:tab w:val="left" w:pos="851"/>
          <w:tab w:val="left" w:pos="6237"/>
        </w:tabs>
        <w:adjustRightInd w:val="0"/>
        <w:snapToGrid w:val="0"/>
        <w:spacing w:after="0" w:line="240" w:lineRule="auto"/>
        <w:rPr>
          <w:rFonts w:ascii="Arial" w:hAnsi="Arial" w:cs="Arial"/>
          <w:sz w:val="6"/>
          <w:szCs w:val="6"/>
        </w:rPr>
      </w:pPr>
    </w:p>
    <w:p w14:paraId="67D60EBF" w14:textId="77777777" w:rsidR="007C6361" w:rsidRDefault="007C6361" w:rsidP="007C6361">
      <w:pPr>
        <w:pStyle w:val="Header"/>
        <w:tabs>
          <w:tab w:val="left" w:pos="851"/>
          <w:tab w:val="left" w:pos="6237"/>
        </w:tabs>
        <w:adjustRightInd w:val="0"/>
        <w:snapToGrid w:val="0"/>
        <w:spacing w:after="0" w:line="240" w:lineRule="auto"/>
        <w:rPr>
          <w:rFonts w:ascii="Arial" w:hAnsi="Arial" w:cs="Arial"/>
          <w:sz w:val="6"/>
          <w:szCs w:val="6"/>
        </w:rPr>
      </w:pPr>
    </w:p>
    <w:p w14:paraId="1A00AB07" w14:textId="77777777" w:rsidR="007C6361" w:rsidRDefault="007C6361" w:rsidP="007C6361">
      <w:pPr>
        <w:pStyle w:val="Header"/>
        <w:tabs>
          <w:tab w:val="left" w:pos="851"/>
          <w:tab w:val="left" w:pos="6237"/>
        </w:tabs>
        <w:adjustRightInd w:val="0"/>
        <w:snapToGrid w:val="0"/>
        <w:spacing w:after="0" w:line="240" w:lineRule="auto"/>
        <w:rPr>
          <w:rFonts w:ascii="Arial" w:hAnsi="Arial" w:cs="Arial"/>
          <w:sz w:val="6"/>
          <w:szCs w:val="6"/>
        </w:rPr>
      </w:pPr>
    </w:p>
    <w:p w14:paraId="26ADE5C4" w14:textId="77777777" w:rsidR="007C6361" w:rsidRDefault="007C6361" w:rsidP="007C6361">
      <w:pPr>
        <w:pStyle w:val="Header"/>
        <w:tabs>
          <w:tab w:val="left" w:pos="851"/>
          <w:tab w:val="left" w:pos="6237"/>
        </w:tabs>
        <w:adjustRightInd w:val="0"/>
        <w:snapToGrid w:val="0"/>
        <w:spacing w:after="0" w:line="240" w:lineRule="auto"/>
        <w:rPr>
          <w:rFonts w:ascii="Arial" w:hAnsi="Arial" w:cs="Arial"/>
          <w:sz w:val="6"/>
          <w:szCs w:val="6"/>
        </w:rPr>
      </w:pPr>
    </w:p>
    <w:p w14:paraId="785448D9" w14:textId="77777777" w:rsidR="007C6361" w:rsidRDefault="007C6361" w:rsidP="007C6361">
      <w:pPr>
        <w:pStyle w:val="Header"/>
        <w:tabs>
          <w:tab w:val="left" w:pos="851"/>
          <w:tab w:val="left" w:pos="6237"/>
        </w:tabs>
        <w:adjustRightInd w:val="0"/>
        <w:snapToGrid w:val="0"/>
        <w:spacing w:after="0" w:line="240" w:lineRule="auto"/>
        <w:rPr>
          <w:rFonts w:ascii="Arial" w:hAnsi="Arial" w:cs="Arial"/>
          <w:sz w:val="6"/>
          <w:szCs w:val="6"/>
        </w:rPr>
      </w:pPr>
    </w:p>
    <w:p w14:paraId="547B92F5" w14:textId="77777777" w:rsidR="007C6361" w:rsidRDefault="007C6361" w:rsidP="007C6361">
      <w:pPr>
        <w:pStyle w:val="Header"/>
        <w:tabs>
          <w:tab w:val="left" w:pos="851"/>
          <w:tab w:val="left" w:pos="6237"/>
        </w:tabs>
        <w:adjustRightInd w:val="0"/>
        <w:snapToGrid w:val="0"/>
        <w:spacing w:after="0" w:line="240" w:lineRule="auto"/>
        <w:rPr>
          <w:rFonts w:ascii="Arial" w:hAnsi="Arial" w:cs="Arial"/>
          <w:sz w:val="6"/>
          <w:szCs w:val="6"/>
        </w:rPr>
      </w:pPr>
    </w:p>
    <w:p w14:paraId="23C1B106" w14:textId="77777777" w:rsidR="007C6361" w:rsidRDefault="007C6361" w:rsidP="007C6361">
      <w:pPr>
        <w:pStyle w:val="Header"/>
        <w:tabs>
          <w:tab w:val="left" w:pos="851"/>
          <w:tab w:val="left" w:pos="6237"/>
        </w:tabs>
        <w:adjustRightInd w:val="0"/>
        <w:snapToGrid w:val="0"/>
        <w:spacing w:after="0" w:line="240" w:lineRule="auto"/>
        <w:rPr>
          <w:rFonts w:ascii="Arial" w:hAnsi="Arial" w:cs="Arial"/>
          <w:sz w:val="6"/>
          <w:szCs w:val="6"/>
        </w:rPr>
      </w:pPr>
    </w:p>
    <w:p w14:paraId="58B0FBDC" w14:textId="77777777" w:rsidR="007C6361" w:rsidRDefault="007C6361" w:rsidP="007C6361">
      <w:pPr>
        <w:pStyle w:val="Header"/>
        <w:tabs>
          <w:tab w:val="left" w:pos="851"/>
          <w:tab w:val="left" w:pos="6237"/>
        </w:tabs>
        <w:adjustRightInd w:val="0"/>
        <w:snapToGrid w:val="0"/>
        <w:spacing w:after="0" w:line="240" w:lineRule="auto"/>
        <w:rPr>
          <w:rFonts w:ascii="Arial" w:hAnsi="Arial" w:cs="Arial"/>
          <w:sz w:val="6"/>
          <w:szCs w:val="6"/>
        </w:rPr>
      </w:pPr>
    </w:p>
    <w:p w14:paraId="18BB081B" w14:textId="77777777" w:rsidR="007C6361" w:rsidRDefault="007C6361" w:rsidP="007C6361">
      <w:pPr>
        <w:pStyle w:val="Header"/>
        <w:tabs>
          <w:tab w:val="left" w:pos="851"/>
          <w:tab w:val="left" w:pos="6237"/>
        </w:tabs>
        <w:adjustRightInd w:val="0"/>
        <w:snapToGrid w:val="0"/>
        <w:spacing w:after="0" w:line="240" w:lineRule="auto"/>
        <w:rPr>
          <w:rFonts w:ascii="Arial" w:hAnsi="Arial" w:cs="Arial"/>
          <w:sz w:val="6"/>
          <w:szCs w:val="6"/>
        </w:rPr>
      </w:pPr>
    </w:p>
    <w:p w14:paraId="5A32BDD6" w14:textId="77777777" w:rsidR="007C6361" w:rsidRDefault="007C6361" w:rsidP="007C6361">
      <w:pPr>
        <w:pStyle w:val="Header"/>
        <w:tabs>
          <w:tab w:val="left" w:pos="851"/>
          <w:tab w:val="left" w:pos="6237"/>
        </w:tabs>
        <w:adjustRightInd w:val="0"/>
        <w:snapToGrid w:val="0"/>
        <w:spacing w:after="0" w:line="240" w:lineRule="auto"/>
        <w:rPr>
          <w:rFonts w:ascii="Arial" w:hAnsi="Arial" w:cs="Arial"/>
          <w:sz w:val="6"/>
          <w:szCs w:val="6"/>
        </w:rPr>
      </w:pPr>
    </w:p>
    <w:p w14:paraId="67A9A643" w14:textId="77777777" w:rsidR="007C6361" w:rsidRDefault="007C6361" w:rsidP="007C6361">
      <w:pPr>
        <w:pStyle w:val="Header"/>
        <w:tabs>
          <w:tab w:val="left" w:pos="851"/>
          <w:tab w:val="left" w:pos="6237"/>
        </w:tabs>
        <w:adjustRightInd w:val="0"/>
        <w:snapToGrid w:val="0"/>
        <w:spacing w:after="0" w:line="240" w:lineRule="auto"/>
        <w:rPr>
          <w:rFonts w:ascii="Arial" w:hAnsi="Arial" w:cs="Arial"/>
          <w:sz w:val="6"/>
          <w:szCs w:val="6"/>
        </w:rPr>
      </w:pPr>
    </w:p>
    <w:p w14:paraId="725C4B47" w14:textId="77777777" w:rsidR="007C6361" w:rsidRDefault="007C6361" w:rsidP="007C6361">
      <w:pPr>
        <w:pStyle w:val="Header"/>
        <w:tabs>
          <w:tab w:val="left" w:pos="851"/>
          <w:tab w:val="left" w:pos="6237"/>
        </w:tabs>
        <w:adjustRightInd w:val="0"/>
        <w:snapToGrid w:val="0"/>
        <w:spacing w:after="0" w:line="240" w:lineRule="auto"/>
        <w:rPr>
          <w:rFonts w:ascii="Arial" w:hAnsi="Arial" w:cs="Arial"/>
          <w:sz w:val="6"/>
          <w:szCs w:val="6"/>
        </w:rPr>
      </w:pPr>
    </w:p>
    <w:p w14:paraId="59C0D50F" w14:textId="77777777" w:rsidR="007C6361" w:rsidRDefault="007C6361" w:rsidP="007C6361">
      <w:pPr>
        <w:pStyle w:val="Header"/>
        <w:tabs>
          <w:tab w:val="left" w:pos="851"/>
          <w:tab w:val="left" w:pos="6237"/>
        </w:tabs>
        <w:adjustRightInd w:val="0"/>
        <w:snapToGrid w:val="0"/>
        <w:spacing w:after="0" w:line="240" w:lineRule="auto"/>
        <w:rPr>
          <w:rFonts w:ascii="Arial" w:hAnsi="Arial" w:cs="Arial"/>
          <w:sz w:val="6"/>
          <w:szCs w:val="6"/>
        </w:rPr>
      </w:pPr>
    </w:p>
    <w:p w14:paraId="55BA7A70" w14:textId="77777777" w:rsidR="007C6361" w:rsidRDefault="007C6361" w:rsidP="007C6361">
      <w:pPr>
        <w:pStyle w:val="Header"/>
        <w:tabs>
          <w:tab w:val="left" w:pos="851"/>
          <w:tab w:val="left" w:pos="6237"/>
        </w:tabs>
        <w:adjustRightInd w:val="0"/>
        <w:snapToGrid w:val="0"/>
        <w:spacing w:after="0" w:line="240" w:lineRule="auto"/>
        <w:rPr>
          <w:rFonts w:ascii="Arial" w:hAnsi="Arial" w:cs="Arial"/>
          <w:sz w:val="6"/>
          <w:szCs w:val="6"/>
        </w:rPr>
      </w:pPr>
    </w:p>
    <w:p w14:paraId="6DF7FA4B" w14:textId="77777777" w:rsidR="007C6361" w:rsidRDefault="007C6361" w:rsidP="007C6361">
      <w:pPr>
        <w:pStyle w:val="Header"/>
        <w:tabs>
          <w:tab w:val="left" w:pos="851"/>
          <w:tab w:val="left" w:pos="6237"/>
        </w:tabs>
        <w:adjustRightInd w:val="0"/>
        <w:snapToGrid w:val="0"/>
        <w:spacing w:after="0" w:line="240" w:lineRule="auto"/>
        <w:rPr>
          <w:rFonts w:ascii="Arial" w:hAnsi="Arial" w:cs="Arial"/>
          <w:sz w:val="6"/>
          <w:szCs w:val="6"/>
        </w:rPr>
      </w:pPr>
    </w:p>
    <w:p w14:paraId="5D4A06C1" w14:textId="77777777" w:rsidR="007C6361" w:rsidRDefault="007C6361" w:rsidP="007C6361">
      <w:pPr>
        <w:pStyle w:val="Header"/>
        <w:tabs>
          <w:tab w:val="left" w:pos="851"/>
          <w:tab w:val="left" w:pos="6237"/>
        </w:tabs>
        <w:adjustRightInd w:val="0"/>
        <w:snapToGrid w:val="0"/>
        <w:spacing w:after="0" w:line="240" w:lineRule="auto"/>
        <w:rPr>
          <w:rFonts w:ascii="Arial" w:hAnsi="Arial" w:cs="Arial"/>
          <w:sz w:val="6"/>
          <w:szCs w:val="6"/>
        </w:rPr>
      </w:pPr>
    </w:p>
    <w:p w14:paraId="7BF20F86" w14:textId="77777777" w:rsidR="007C6361" w:rsidRDefault="007C6361" w:rsidP="007C6361">
      <w:pPr>
        <w:pStyle w:val="Header"/>
        <w:tabs>
          <w:tab w:val="left" w:pos="851"/>
          <w:tab w:val="left" w:pos="6237"/>
        </w:tabs>
        <w:adjustRightInd w:val="0"/>
        <w:snapToGrid w:val="0"/>
        <w:spacing w:after="0" w:line="240" w:lineRule="auto"/>
        <w:rPr>
          <w:rFonts w:ascii="Arial" w:hAnsi="Arial" w:cs="Arial"/>
          <w:sz w:val="6"/>
          <w:szCs w:val="6"/>
        </w:rPr>
      </w:pPr>
    </w:p>
    <w:p w14:paraId="104A79B9" w14:textId="77777777" w:rsidR="007C6361" w:rsidRDefault="007C6361" w:rsidP="007C6361">
      <w:pPr>
        <w:pStyle w:val="Header"/>
        <w:tabs>
          <w:tab w:val="left" w:pos="851"/>
          <w:tab w:val="left" w:pos="6237"/>
        </w:tabs>
        <w:adjustRightInd w:val="0"/>
        <w:snapToGrid w:val="0"/>
        <w:spacing w:after="0" w:line="240" w:lineRule="auto"/>
        <w:rPr>
          <w:rFonts w:ascii="Arial" w:hAnsi="Arial" w:cs="Arial"/>
          <w:sz w:val="6"/>
          <w:szCs w:val="6"/>
        </w:rPr>
      </w:pPr>
    </w:p>
    <w:p w14:paraId="142C735E" w14:textId="77777777" w:rsidR="007C6361" w:rsidRDefault="007C6361" w:rsidP="007C6361">
      <w:pPr>
        <w:pStyle w:val="Header"/>
        <w:tabs>
          <w:tab w:val="left" w:pos="851"/>
          <w:tab w:val="left" w:pos="6237"/>
        </w:tabs>
        <w:adjustRightInd w:val="0"/>
        <w:snapToGrid w:val="0"/>
        <w:spacing w:after="0" w:line="240" w:lineRule="auto"/>
        <w:rPr>
          <w:rFonts w:ascii="Arial" w:hAnsi="Arial" w:cs="Arial"/>
          <w:sz w:val="6"/>
          <w:szCs w:val="6"/>
        </w:rPr>
      </w:pPr>
    </w:p>
    <w:p w14:paraId="0852A9BB" w14:textId="77777777" w:rsidR="007C6361" w:rsidRDefault="007C6361" w:rsidP="007C6361">
      <w:pPr>
        <w:pStyle w:val="Header"/>
        <w:tabs>
          <w:tab w:val="left" w:pos="851"/>
          <w:tab w:val="left" w:pos="6237"/>
        </w:tabs>
        <w:adjustRightInd w:val="0"/>
        <w:snapToGrid w:val="0"/>
        <w:spacing w:after="0" w:line="240" w:lineRule="auto"/>
        <w:rPr>
          <w:rFonts w:ascii="Arial" w:hAnsi="Arial" w:cs="Arial"/>
          <w:sz w:val="6"/>
          <w:szCs w:val="6"/>
        </w:rPr>
      </w:pPr>
    </w:p>
    <w:p w14:paraId="66461078" w14:textId="77777777" w:rsidR="007C6361" w:rsidRDefault="007C6361" w:rsidP="007C6361">
      <w:pPr>
        <w:pStyle w:val="Header"/>
        <w:tabs>
          <w:tab w:val="left" w:pos="851"/>
          <w:tab w:val="left" w:pos="6237"/>
        </w:tabs>
        <w:adjustRightInd w:val="0"/>
        <w:snapToGrid w:val="0"/>
        <w:spacing w:after="0" w:line="240" w:lineRule="auto"/>
        <w:rPr>
          <w:rFonts w:ascii="Arial" w:hAnsi="Arial" w:cs="Arial"/>
          <w:sz w:val="6"/>
          <w:szCs w:val="6"/>
        </w:rPr>
      </w:pPr>
    </w:p>
    <w:p w14:paraId="28F2CBDF" w14:textId="77777777" w:rsidR="007C6361" w:rsidRDefault="007C6361" w:rsidP="007C6361">
      <w:pPr>
        <w:pStyle w:val="Header"/>
        <w:tabs>
          <w:tab w:val="left" w:pos="851"/>
          <w:tab w:val="left" w:pos="6237"/>
        </w:tabs>
        <w:adjustRightInd w:val="0"/>
        <w:snapToGrid w:val="0"/>
        <w:spacing w:after="0" w:line="240" w:lineRule="auto"/>
        <w:rPr>
          <w:rFonts w:ascii="Arial" w:hAnsi="Arial" w:cs="Arial"/>
          <w:sz w:val="6"/>
          <w:szCs w:val="6"/>
        </w:rPr>
      </w:pPr>
    </w:p>
    <w:p w14:paraId="058402A8" w14:textId="77777777" w:rsidR="007C6361" w:rsidRDefault="007C6361" w:rsidP="007C6361">
      <w:pPr>
        <w:pStyle w:val="Header"/>
        <w:tabs>
          <w:tab w:val="left" w:pos="851"/>
          <w:tab w:val="left" w:pos="6237"/>
        </w:tabs>
        <w:adjustRightInd w:val="0"/>
        <w:snapToGrid w:val="0"/>
        <w:spacing w:after="0" w:line="240" w:lineRule="auto"/>
        <w:rPr>
          <w:rFonts w:ascii="Arial" w:hAnsi="Arial" w:cs="Arial"/>
          <w:sz w:val="6"/>
          <w:szCs w:val="6"/>
        </w:rPr>
      </w:pPr>
    </w:p>
    <w:p w14:paraId="346695F0" w14:textId="77777777" w:rsidR="007C6361" w:rsidRDefault="007C6361" w:rsidP="007C6361">
      <w:pPr>
        <w:pStyle w:val="Header"/>
        <w:tabs>
          <w:tab w:val="left" w:pos="851"/>
          <w:tab w:val="left" w:pos="6237"/>
        </w:tabs>
        <w:adjustRightInd w:val="0"/>
        <w:snapToGrid w:val="0"/>
        <w:spacing w:after="0" w:line="240" w:lineRule="auto"/>
        <w:rPr>
          <w:rFonts w:ascii="Arial" w:hAnsi="Arial" w:cs="Arial"/>
          <w:sz w:val="6"/>
          <w:szCs w:val="6"/>
        </w:rPr>
      </w:pPr>
    </w:p>
    <w:p w14:paraId="5E92E6C9" w14:textId="77777777" w:rsidR="007C6361" w:rsidRDefault="007C6361" w:rsidP="007C6361">
      <w:pPr>
        <w:pStyle w:val="Header"/>
        <w:tabs>
          <w:tab w:val="left" w:pos="851"/>
          <w:tab w:val="left" w:pos="6237"/>
        </w:tabs>
        <w:adjustRightInd w:val="0"/>
        <w:snapToGrid w:val="0"/>
        <w:spacing w:after="0" w:line="240" w:lineRule="auto"/>
        <w:rPr>
          <w:rFonts w:ascii="Arial" w:hAnsi="Arial" w:cs="Arial"/>
          <w:sz w:val="6"/>
          <w:szCs w:val="6"/>
        </w:rPr>
      </w:pPr>
    </w:p>
    <w:p w14:paraId="44AC9B9D" w14:textId="77777777" w:rsidR="007C6361" w:rsidRDefault="007C6361" w:rsidP="007C6361">
      <w:pPr>
        <w:pStyle w:val="Header"/>
        <w:tabs>
          <w:tab w:val="left" w:pos="851"/>
          <w:tab w:val="left" w:pos="6237"/>
        </w:tabs>
        <w:adjustRightInd w:val="0"/>
        <w:snapToGrid w:val="0"/>
        <w:spacing w:after="0" w:line="240" w:lineRule="auto"/>
        <w:rPr>
          <w:rFonts w:ascii="Arial" w:hAnsi="Arial" w:cs="Arial"/>
          <w:sz w:val="6"/>
          <w:szCs w:val="6"/>
        </w:rPr>
      </w:pPr>
    </w:p>
    <w:p w14:paraId="2CDAB3C6" w14:textId="77777777" w:rsidR="007C6361" w:rsidRDefault="007C6361" w:rsidP="007C6361">
      <w:pPr>
        <w:pStyle w:val="Header"/>
        <w:tabs>
          <w:tab w:val="left" w:pos="851"/>
          <w:tab w:val="left" w:pos="6237"/>
        </w:tabs>
        <w:adjustRightInd w:val="0"/>
        <w:snapToGrid w:val="0"/>
        <w:spacing w:after="0" w:line="240" w:lineRule="auto"/>
        <w:rPr>
          <w:rFonts w:ascii="Arial" w:hAnsi="Arial" w:cs="Arial"/>
          <w:sz w:val="6"/>
          <w:szCs w:val="6"/>
        </w:rPr>
      </w:pPr>
    </w:p>
    <w:p w14:paraId="5D2F6F52" w14:textId="77777777" w:rsidR="007C6361" w:rsidRDefault="007C6361" w:rsidP="007C6361">
      <w:pPr>
        <w:pStyle w:val="Header"/>
        <w:tabs>
          <w:tab w:val="left" w:pos="851"/>
          <w:tab w:val="left" w:pos="6237"/>
        </w:tabs>
        <w:adjustRightInd w:val="0"/>
        <w:snapToGrid w:val="0"/>
        <w:spacing w:after="0" w:line="240" w:lineRule="auto"/>
        <w:rPr>
          <w:rFonts w:ascii="Arial" w:hAnsi="Arial" w:cs="Arial"/>
          <w:sz w:val="6"/>
          <w:szCs w:val="6"/>
        </w:rPr>
      </w:pPr>
    </w:p>
    <w:p w14:paraId="7FCE860F" w14:textId="77777777" w:rsidR="007C6361" w:rsidRDefault="007C6361" w:rsidP="007C6361">
      <w:pPr>
        <w:pStyle w:val="Header"/>
        <w:tabs>
          <w:tab w:val="left" w:pos="851"/>
          <w:tab w:val="left" w:pos="6237"/>
        </w:tabs>
        <w:adjustRightInd w:val="0"/>
        <w:snapToGrid w:val="0"/>
        <w:spacing w:after="0" w:line="240" w:lineRule="auto"/>
        <w:rPr>
          <w:rFonts w:ascii="Arial" w:hAnsi="Arial" w:cs="Arial"/>
          <w:sz w:val="6"/>
          <w:szCs w:val="6"/>
        </w:rPr>
      </w:pPr>
    </w:p>
    <w:p w14:paraId="30F9F585" w14:textId="77777777" w:rsidR="007C6361" w:rsidRDefault="007C6361" w:rsidP="007C6361">
      <w:pPr>
        <w:pStyle w:val="Header"/>
        <w:tabs>
          <w:tab w:val="left" w:pos="851"/>
          <w:tab w:val="left" w:pos="6237"/>
        </w:tabs>
        <w:adjustRightInd w:val="0"/>
        <w:snapToGrid w:val="0"/>
        <w:spacing w:after="0" w:line="240" w:lineRule="auto"/>
        <w:rPr>
          <w:rFonts w:ascii="Arial" w:hAnsi="Arial" w:cs="Arial"/>
          <w:sz w:val="6"/>
          <w:szCs w:val="6"/>
        </w:rPr>
      </w:pPr>
    </w:p>
    <w:p w14:paraId="004CC3C4" w14:textId="77777777" w:rsidR="007C6361" w:rsidRDefault="007C6361" w:rsidP="007C6361">
      <w:pPr>
        <w:pStyle w:val="Header"/>
        <w:tabs>
          <w:tab w:val="left" w:pos="851"/>
          <w:tab w:val="left" w:pos="6237"/>
        </w:tabs>
        <w:adjustRightInd w:val="0"/>
        <w:snapToGrid w:val="0"/>
        <w:spacing w:after="0" w:line="240" w:lineRule="auto"/>
        <w:rPr>
          <w:rFonts w:ascii="Arial" w:hAnsi="Arial" w:cs="Arial"/>
          <w:sz w:val="6"/>
          <w:szCs w:val="6"/>
        </w:rPr>
      </w:pPr>
    </w:p>
    <w:p w14:paraId="1BFEDE84" w14:textId="77777777" w:rsidR="007C6361" w:rsidRDefault="007C6361" w:rsidP="007C6361">
      <w:pPr>
        <w:pStyle w:val="Header"/>
        <w:tabs>
          <w:tab w:val="left" w:pos="851"/>
          <w:tab w:val="left" w:pos="6237"/>
        </w:tabs>
        <w:adjustRightInd w:val="0"/>
        <w:snapToGrid w:val="0"/>
        <w:spacing w:after="0" w:line="240" w:lineRule="auto"/>
        <w:rPr>
          <w:rFonts w:ascii="Arial" w:hAnsi="Arial" w:cs="Arial"/>
          <w:sz w:val="6"/>
          <w:szCs w:val="6"/>
        </w:rPr>
      </w:pPr>
    </w:p>
    <w:p w14:paraId="1BAB3D28" w14:textId="77777777" w:rsidR="007C6361" w:rsidRDefault="007C6361" w:rsidP="007C6361">
      <w:pPr>
        <w:pStyle w:val="Header"/>
        <w:tabs>
          <w:tab w:val="left" w:pos="851"/>
          <w:tab w:val="left" w:pos="6237"/>
        </w:tabs>
        <w:adjustRightInd w:val="0"/>
        <w:snapToGrid w:val="0"/>
        <w:spacing w:after="0" w:line="240" w:lineRule="auto"/>
        <w:rPr>
          <w:rFonts w:ascii="Arial" w:hAnsi="Arial" w:cs="Arial"/>
          <w:sz w:val="6"/>
          <w:szCs w:val="6"/>
        </w:rPr>
      </w:pPr>
    </w:p>
    <w:p w14:paraId="1355E92C" w14:textId="77777777" w:rsidR="007C6361" w:rsidRDefault="007C6361" w:rsidP="007C6361">
      <w:pPr>
        <w:pStyle w:val="Header"/>
        <w:tabs>
          <w:tab w:val="left" w:pos="851"/>
          <w:tab w:val="left" w:pos="6237"/>
        </w:tabs>
        <w:adjustRightInd w:val="0"/>
        <w:snapToGrid w:val="0"/>
        <w:spacing w:after="0" w:line="240" w:lineRule="auto"/>
        <w:rPr>
          <w:rFonts w:ascii="Arial" w:hAnsi="Arial" w:cs="Arial"/>
          <w:sz w:val="6"/>
          <w:szCs w:val="6"/>
        </w:rPr>
      </w:pPr>
    </w:p>
    <w:p w14:paraId="61DEF4F4" w14:textId="77777777" w:rsidR="007C6361" w:rsidRDefault="007C6361" w:rsidP="007C6361">
      <w:pPr>
        <w:pStyle w:val="Header"/>
        <w:tabs>
          <w:tab w:val="left" w:pos="851"/>
          <w:tab w:val="left" w:pos="6237"/>
        </w:tabs>
        <w:adjustRightInd w:val="0"/>
        <w:snapToGrid w:val="0"/>
        <w:spacing w:after="0" w:line="240" w:lineRule="auto"/>
        <w:rPr>
          <w:rFonts w:ascii="Arial" w:hAnsi="Arial" w:cs="Arial"/>
          <w:sz w:val="6"/>
          <w:szCs w:val="6"/>
        </w:rPr>
      </w:pPr>
    </w:p>
    <w:p w14:paraId="416828C8" w14:textId="77777777" w:rsidR="007C6361" w:rsidRDefault="007C6361" w:rsidP="007C6361">
      <w:pPr>
        <w:pStyle w:val="Header"/>
        <w:tabs>
          <w:tab w:val="left" w:pos="851"/>
          <w:tab w:val="left" w:pos="6237"/>
        </w:tabs>
        <w:adjustRightInd w:val="0"/>
        <w:snapToGrid w:val="0"/>
        <w:spacing w:after="0" w:line="240" w:lineRule="auto"/>
        <w:rPr>
          <w:rFonts w:ascii="Arial" w:hAnsi="Arial" w:cs="Arial"/>
          <w:sz w:val="6"/>
          <w:szCs w:val="6"/>
        </w:rPr>
      </w:pPr>
    </w:p>
    <w:p w14:paraId="53F148F6" w14:textId="77777777" w:rsidR="007C6361" w:rsidRDefault="007C6361" w:rsidP="007C6361">
      <w:pPr>
        <w:pStyle w:val="Header"/>
        <w:tabs>
          <w:tab w:val="left" w:pos="851"/>
          <w:tab w:val="left" w:pos="6237"/>
        </w:tabs>
        <w:adjustRightInd w:val="0"/>
        <w:snapToGrid w:val="0"/>
        <w:spacing w:after="0" w:line="240" w:lineRule="auto"/>
        <w:rPr>
          <w:rFonts w:ascii="Arial" w:hAnsi="Arial" w:cs="Arial"/>
          <w:sz w:val="6"/>
          <w:szCs w:val="6"/>
        </w:rPr>
      </w:pPr>
    </w:p>
    <w:p w14:paraId="6A88EA12" w14:textId="77777777" w:rsidR="007C6361" w:rsidRDefault="007C6361" w:rsidP="007C6361">
      <w:pPr>
        <w:pStyle w:val="Header"/>
        <w:tabs>
          <w:tab w:val="left" w:pos="851"/>
          <w:tab w:val="left" w:pos="6237"/>
        </w:tabs>
        <w:adjustRightInd w:val="0"/>
        <w:snapToGrid w:val="0"/>
        <w:spacing w:after="0" w:line="240" w:lineRule="auto"/>
        <w:rPr>
          <w:rFonts w:ascii="Arial" w:hAnsi="Arial" w:cs="Arial"/>
          <w:sz w:val="6"/>
          <w:szCs w:val="6"/>
        </w:rPr>
      </w:pPr>
    </w:p>
    <w:p w14:paraId="2188932D" w14:textId="77777777" w:rsidR="007C6361" w:rsidRDefault="007C6361" w:rsidP="007C6361">
      <w:pPr>
        <w:pStyle w:val="Header"/>
        <w:tabs>
          <w:tab w:val="left" w:pos="851"/>
          <w:tab w:val="left" w:pos="6237"/>
        </w:tabs>
        <w:adjustRightInd w:val="0"/>
        <w:snapToGrid w:val="0"/>
        <w:spacing w:after="0" w:line="240" w:lineRule="auto"/>
        <w:rPr>
          <w:rFonts w:ascii="Arial" w:hAnsi="Arial" w:cs="Arial"/>
          <w:sz w:val="6"/>
          <w:szCs w:val="6"/>
        </w:rPr>
      </w:pPr>
    </w:p>
    <w:p w14:paraId="0F82E8A3" w14:textId="77777777" w:rsidR="007C6361" w:rsidRDefault="007C6361" w:rsidP="007C6361">
      <w:pPr>
        <w:pStyle w:val="Header"/>
        <w:tabs>
          <w:tab w:val="left" w:pos="851"/>
          <w:tab w:val="left" w:pos="6237"/>
        </w:tabs>
        <w:adjustRightInd w:val="0"/>
        <w:snapToGrid w:val="0"/>
        <w:spacing w:after="0" w:line="240" w:lineRule="auto"/>
        <w:rPr>
          <w:rFonts w:ascii="Arial" w:hAnsi="Arial" w:cs="Arial"/>
          <w:sz w:val="6"/>
          <w:szCs w:val="6"/>
        </w:rPr>
      </w:pPr>
    </w:p>
    <w:p w14:paraId="2C236D0A" w14:textId="77777777" w:rsidR="007C6361" w:rsidRDefault="007C6361" w:rsidP="007C6361">
      <w:pPr>
        <w:pStyle w:val="Header"/>
        <w:tabs>
          <w:tab w:val="left" w:pos="851"/>
          <w:tab w:val="left" w:pos="6237"/>
        </w:tabs>
        <w:adjustRightInd w:val="0"/>
        <w:snapToGrid w:val="0"/>
        <w:spacing w:after="0" w:line="240" w:lineRule="auto"/>
        <w:rPr>
          <w:rFonts w:ascii="Arial" w:hAnsi="Arial" w:cs="Arial"/>
          <w:sz w:val="6"/>
          <w:szCs w:val="6"/>
        </w:rPr>
      </w:pPr>
    </w:p>
    <w:p w14:paraId="661AD878" w14:textId="77777777" w:rsidR="007C6361" w:rsidRDefault="007C6361" w:rsidP="007C6361">
      <w:pPr>
        <w:pStyle w:val="Header"/>
        <w:tabs>
          <w:tab w:val="left" w:pos="851"/>
          <w:tab w:val="left" w:pos="6237"/>
        </w:tabs>
        <w:adjustRightInd w:val="0"/>
        <w:snapToGrid w:val="0"/>
        <w:spacing w:after="0" w:line="240" w:lineRule="auto"/>
        <w:rPr>
          <w:rFonts w:ascii="Arial" w:hAnsi="Arial" w:cs="Arial"/>
          <w:sz w:val="6"/>
          <w:szCs w:val="6"/>
        </w:rPr>
      </w:pPr>
    </w:p>
    <w:p w14:paraId="2EEF6A82" w14:textId="77777777" w:rsidR="007C6361" w:rsidRDefault="007C6361" w:rsidP="007C6361">
      <w:pPr>
        <w:pStyle w:val="Header"/>
        <w:tabs>
          <w:tab w:val="left" w:pos="851"/>
          <w:tab w:val="left" w:pos="6237"/>
        </w:tabs>
        <w:adjustRightInd w:val="0"/>
        <w:snapToGrid w:val="0"/>
        <w:spacing w:after="0" w:line="240" w:lineRule="auto"/>
        <w:rPr>
          <w:rFonts w:ascii="Arial" w:hAnsi="Arial" w:cs="Arial"/>
          <w:sz w:val="6"/>
          <w:szCs w:val="6"/>
        </w:rPr>
      </w:pPr>
    </w:p>
    <w:p w14:paraId="31D5BAD2" w14:textId="77777777" w:rsidR="007C6361" w:rsidRDefault="007C6361" w:rsidP="007C6361">
      <w:pPr>
        <w:pStyle w:val="Header"/>
        <w:tabs>
          <w:tab w:val="left" w:pos="851"/>
          <w:tab w:val="left" w:pos="6237"/>
        </w:tabs>
        <w:adjustRightInd w:val="0"/>
        <w:snapToGrid w:val="0"/>
        <w:spacing w:after="0" w:line="240" w:lineRule="auto"/>
        <w:rPr>
          <w:rFonts w:ascii="Arial" w:hAnsi="Arial" w:cs="Arial"/>
          <w:sz w:val="6"/>
          <w:szCs w:val="6"/>
        </w:rPr>
      </w:pPr>
    </w:p>
    <w:p w14:paraId="6F6CC99A" w14:textId="77777777" w:rsidR="007C6361" w:rsidRDefault="007C6361" w:rsidP="007C6361">
      <w:pPr>
        <w:pStyle w:val="Header"/>
        <w:tabs>
          <w:tab w:val="left" w:pos="851"/>
          <w:tab w:val="left" w:pos="6237"/>
        </w:tabs>
        <w:adjustRightInd w:val="0"/>
        <w:snapToGrid w:val="0"/>
        <w:spacing w:after="0" w:line="240" w:lineRule="auto"/>
        <w:rPr>
          <w:rFonts w:ascii="Arial" w:hAnsi="Arial" w:cs="Arial"/>
          <w:sz w:val="6"/>
          <w:szCs w:val="6"/>
        </w:rPr>
      </w:pPr>
    </w:p>
    <w:p w14:paraId="3B7F0571" w14:textId="77777777" w:rsidR="007C6361" w:rsidRDefault="007C6361" w:rsidP="007C6361">
      <w:pPr>
        <w:pStyle w:val="Header"/>
        <w:tabs>
          <w:tab w:val="left" w:pos="851"/>
          <w:tab w:val="left" w:pos="6237"/>
        </w:tabs>
        <w:adjustRightInd w:val="0"/>
        <w:snapToGrid w:val="0"/>
        <w:spacing w:after="0" w:line="240" w:lineRule="auto"/>
        <w:rPr>
          <w:rFonts w:ascii="Arial" w:hAnsi="Arial" w:cs="Arial"/>
          <w:sz w:val="6"/>
          <w:szCs w:val="6"/>
        </w:rPr>
      </w:pPr>
    </w:p>
    <w:p w14:paraId="13009A7E" w14:textId="77777777" w:rsidR="007C6361" w:rsidRDefault="007C6361" w:rsidP="007C6361">
      <w:pPr>
        <w:pStyle w:val="Header"/>
        <w:tabs>
          <w:tab w:val="left" w:pos="851"/>
          <w:tab w:val="left" w:pos="6237"/>
        </w:tabs>
        <w:adjustRightInd w:val="0"/>
        <w:snapToGrid w:val="0"/>
        <w:spacing w:after="0" w:line="240" w:lineRule="auto"/>
        <w:rPr>
          <w:rFonts w:ascii="Arial" w:hAnsi="Arial" w:cs="Arial"/>
          <w:sz w:val="6"/>
          <w:szCs w:val="6"/>
        </w:rPr>
      </w:pPr>
    </w:p>
    <w:p w14:paraId="19339078" w14:textId="77777777" w:rsidR="007C6361" w:rsidRDefault="007C6361" w:rsidP="007C6361">
      <w:pPr>
        <w:pStyle w:val="Header"/>
        <w:tabs>
          <w:tab w:val="left" w:pos="851"/>
          <w:tab w:val="left" w:pos="6237"/>
        </w:tabs>
        <w:adjustRightInd w:val="0"/>
        <w:snapToGrid w:val="0"/>
        <w:spacing w:after="0" w:line="240" w:lineRule="auto"/>
        <w:rPr>
          <w:rFonts w:ascii="Arial" w:hAnsi="Arial" w:cs="Arial"/>
          <w:sz w:val="6"/>
          <w:szCs w:val="6"/>
        </w:rPr>
      </w:pPr>
    </w:p>
    <w:p w14:paraId="6A3A0403" w14:textId="77777777" w:rsidR="007C6361" w:rsidRDefault="007C6361" w:rsidP="007C6361">
      <w:pPr>
        <w:pStyle w:val="Header"/>
        <w:tabs>
          <w:tab w:val="left" w:pos="851"/>
          <w:tab w:val="left" w:pos="6237"/>
        </w:tabs>
        <w:adjustRightInd w:val="0"/>
        <w:snapToGrid w:val="0"/>
        <w:spacing w:after="0" w:line="240" w:lineRule="auto"/>
        <w:rPr>
          <w:rFonts w:ascii="Arial" w:hAnsi="Arial" w:cs="Arial"/>
          <w:sz w:val="6"/>
          <w:szCs w:val="6"/>
        </w:rPr>
      </w:pPr>
    </w:p>
    <w:p w14:paraId="4EB8DEAD" w14:textId="77777777" w:rsidR="007C6361" w:rsidRDefault="007C6361" w:rsidP="007C6361">
      <w:pPr>
        <w:pStyle w:val="Header"/>
        <w:tabs>
          <w:tab w:val="left" w:pos="851"/>
          <w:tab w:val="left" w:pos="6237"/>
        </w:tabs>
        <w:adjustRightInd w:val="0"/>
        <w:snapToGrid w:val="0"/>
        <w:spacing w:after="0" w:line="240" w:lineRule="auto"/>
        <w:rPr>
          <w:rFonts w:ascii="Arial" w:hAnsi="Arial" w:cs="Arial"/>
          <w:sz w:val="6"/>
          <w:szCs w:val="6"/>
        </w:rPr>
      </w:pPr>
    </w:p>
    <w:p w14:paraId="254368CB" w14:textId="77777777" w:rsidR="007C6361" w:rsidRDefault="007C6361" w:rsidP="007C6361">
      <w:pPr>
        <w:pStyle w:val="Header"/>
        <w:tabs>
          <w:tab w:val="left" w:pos="851"/>
          <w:tab w:val="left" w:pos="6237"/>
        </w:tabs>
        <w:adjustRightInd w:val="0"/>
        <w:snapToGrid w:val="0"/>
        <w:spacing w:after="0" w:line="240" w:lineRule="auto"/>
        <w:rPr>
          <w:rFonts w:ascii="Arial" w:hAnsi="Arial" w:cs="Arial"/>
          <w:sz w:val="6"/>
          <w:szCs w:val="6"/>
        </w:rPr>
      </w:pPr>
    </w:p>
    <w:p w14:paraId="2617F456" w14:textId="77777777" w:rsidR="007C6361" w:rsidRDefault="007C6361" w:rsidP="007C6361">
      <w:pPr>
        <w:pStyle w:val="Header"/>
        <w:tabs>
          <w:tab w:val="left" w:pos="851"/>
          <w:tab w:val="left" w:pos="6237"/>
        </w:tabs>
        <w:adjustRightInd w:val="0"/>
        <w:snapToGrid w:val="0"/>
        <w:spacing w:after="0" w:line="240" w:lineRule="auto"/>
        <w:rPr>
          <w:rFonts w:ascii="Arial" w:hAnsi="Arial" w:cs="Arial"/>
          <w:sz w:val="6"/>
          <w:szCs w:val="6"/>
        </w:rPr>
      </w:pPr>
    </w:p>
    <w:p w14:paraId="000550C0" w14:textId="77777777" w:rsidR="007C6361" w:rsidRDefault="007C6361" w:rsidP="007C6361">
      <w:pPr>
        <w:pStyle w:val="Header"/>
        <w:tabs>
          <w:tab w:val="left" w:pos="851"/>
          <w:tab w:val="left" w:pos="6237"/>
        </w:tabs>
        <w:adjustRightInd w:val="0"/>
        <w:snapToGrid w:val="0"/>
        <w:spacing w:after="0" w:line="240" w:lineRule="auto"/>
        <w:rPr>
          <w:rFonts w:ascii="Arial" w:hAnsi="Arial" w:cs="Arial"/>
          <w:sz w:val="6"/>
          <w:szCs w:val="6"/>
        </w:rPr>
      </w:pPr>
    </w:p>
    <w:p w14:paraId="66F7907E" w14:textId="77777777" w:rsidR="007C6361" w:rsidRDefault="007C6361" w:rsidP="007C6361">
      <w:pPr>
        <w:pStyle w:val="Header"/>
        <w:tabs>
          <w:tab w:val="left" w:pos="851"/>
          <w:tab w:val="left" w:pos="6237"/>
        </w:tabs>
        <w:adjustRightInd w:val="0"/>
        <w:snapToGrid w:val="0"/>
        <w:spacing w:after="0" w:line="240" w:lineRule="auto"/>
        <w:rPr>
          <w:rFonts w:ascii="Arial" w:hAnsi="Arial" w:cs="Arial"/>
          <w:sz w:val="6"/>
          <w:szCs w:val="6"/>
        </w:rPr>
      </w:pPr>
    </w:p>
    <w:p w14:paraId="426F1B33" w14:textId="77777777" w:rsidR="007C6361" w:rsidRDefault="007C6361" w:rsidP="007C6361">
      <w:pPr>
        <w:pStyle w:val="Header"/>
        <w:tabs>
          <w:tab w:val="left" w:pos="851"/>
          <w:tab w:val="left" w:pos="6237"/>
        </w:tabs>
        <w:adjustRightInd w:val="0"/>
        <w:snapToGrid w:val="0"/>
        <w:spacing w:after="0" w:line="240" w:lineRule="auto"/>
        <w:rPr>
          <w:rFonts w:ascii="Arial" w:hAnsi="Arial" w:cs="Arial"/>
          <w:sz w:val="6"/>
          <w:szCs w:val="6"/>
        </w:rPr>
      </w:pPr>
    </w:p>
    <w:p w14:paraId="3B734AAB" w14:textId="77777777" w:rsidR="007C6361" w:rsidRDefault="007C6361" w:rsidP="007C6361">
      <w:pPr>
        <w:pStyle w:val="Header"/>
        <w:tabs>
          <w:tab w:val="left" w:pos="851"/>
          <w:tab w:val="left" w:pos="6237"/>
        </w:tabs>
        <w:adjustRightInd w:val="0"/>
        <w:snapToGrid w:val="0"/>
        <w:spacing w:after="0" w:line="240" w:lineRule="auto"/>
        <w:rPr>
          <w:rFonts w:ascii="Arial" w:hAnsi="Arial" w:cs="Arial"/>
          <w:sz w:val="6"/>
          <w:szCs w:val="6"/>
        </w:rPr>
      </w:pPr>
    </w:p>
    <w:p w14:paraId="5104657A" w14:textId="77777777" w:rsidR="007C6361" w:rsidRDefault="007C6361" w:rsidP="007C6361">
      <w:pPr>
        <w:pStyle w:val="Header"/>
        <w:tabs>
          <w:tab w:val="left" w:pos="851"/>
          <w:tab w:val="left" w:pos="6237"/>
        </w:tabs>
        <w:adjustRightInd w:val="0"/>
        <w:snapToGrid w:val="0"/>
        <w:spacing w:after="0" w:line="240" w:lineRule="auto"/>
        <w:rPr>
          <w:rFonts w:ascii="Arial" w:hAnsi="Arial" w:cs="Arial"/>
          <w:sz w:val="6"/>
          <w:szCs w:val="6"/>
        </w:rPr>
      </w:pPr>
    </w:p>
    <w:p w14:paraId="30B5CD9E" w14:textId="77777777" w:rsidR="007C6361" w:rsidRDefault="007C6361" w:rsidP="007C6361">
      <w:pPr>
        <w:pStyle w:val="Header"/>
        <w:tabs>
          <w:tab w:val="left" w:pos="851"/>
          <w:tab w:val="left" w:pos="6237"/>
        </w:tabs>
        <w:adjustRightInd w:val="0"/>
        <w:snapToGrid w:val="0"/>
        <w:spacing w:after="0" w:line="240" w:lineRule="auto"/>
        <w:rPr>
          <w:rFonts w:ascii="Arial" w:hAnsi="Arial" w:cs="Arial"/>
          <w:sz w:val="6"/>
          <w:szCs w:val="6"/>
        </w:rPr>
      </w:pPr>
    </w:p>
    <w:p w14:paraId="499DE723" w14:textId="77777777" w:rsidR="007C6361" w:rsidRDefault="007C6361" w:rsidP="007C6361">
      <w:pPr>
        <w:pStyle w:val="Header"/>
        <w:tabs>
          <w:tab w:val="left" w:pos="851"/>
          <w:tab w:val="left" w:pos="6237"/>
        </w:tabs>
        <w:adjustRightInd w:val="0"/>
        <w:snapToGrid w:val="0"/>
        <w:spacing w:after="0" w:line="240" w:lineRule="auto"/>
        <w:rPr>
          <w:rFonts w:ascii="Arial" w:hAnsi="Arial" w:cs="Arial"/>
          <w:sz w:val="6"/>
          <w:szCs w:val="6"/>
        </w:rPr>
      </w:pPr>
    </w:p>
    <w:p w14:paraId="49B90128" w14:textId="77777777" w:rsidR="007C6361" w:rsidRDefault="007C6361" w:rsidP="007C6361">
      <w:pPr>
        <w:pStyle w:val="Header"/>
        <w:tabs>
          <w:tab w:val="left" w:pos="851"/>
          <w:tab w:val="left" w:pos="6237"/>
        </w:tabs>
        <w:adjustRightInd w:val="0"/>
        <w:snapToGrid w:val="0"/>
        <w:spacing w:after="0" w:line="240" w:lineRule="auto"/>
        <w:rPr>
          <w:rFonts w:ascii="Arial" w:hAnsi="Arial" w:cs="Arial"/>
          <w:sz w:val="6"/>
          <w:szCs w:val="6"/>
        </w:rPr>
      </w:pPr>
    </w:p>
    <w:p w14:paraId="596E3465" w14:textId="77777777" w:rsidR="007C6361" w:rsidRDefault="007C6361" w:rsidP="007C6361">
      <w:pPr>
        <w:pStyle w:val="Header"/>
        <w:tabs>
          <w:tab w:val="left" w:pos="851"/>
          <w:tab w:val="left" w:pos="6237"/>
        </w:tabs>
        <w:adjustRightInd w:val="0"/>
        <w:snapToGrid w:val="0"/>
        <w:spacing w:after="0" w:line="240" w:lineRule="auto"/>
        <w:rPr>
          <w:rFonts w:ascii="Arial" w:hAnsi="Arial" w:cs="Arial"/>
          <w:sz w:val="6"/>
          <w:szCs w:val="6"/>
        </w:rPr>
      </w:pPr>
    </w:p>
    <w:p w14:paraId="73DCF0DD" w14:textId="77777777" w:rsidR="007C6361" w:rsidRPr="006377CD" w:rsidRDefault="007C6361" w:rsidP="007C6361">
      <w:pPr>
        <w:pStyle w:val="Header"/>
        <w:tabs>
          <w:tab w:val="left" w:pos="851"/>
          <w:tab w:val="left" w:pos="6237"/>
        </w:tabs>
        <w:adjustRightInd w:val="0"/>
        <w:snapToGrid w:val="0"/>
        <w:spacing w:after="0" w:line="240" w:lineRule="auto"/>
        <w:rPr>
          <w:rFonts w:ascii="Arial" w:hAnsi="Arial" w:cs="Arial"/>
          <w:sz w:val="6"/>
          <w:szCs w:val="6"/>
        </w:rPr>
      </w:pPr>
    </w:p>
    <w:tbl>
      <w:tblPr>
        <w:tblW w:w="0" w:type="auto"/>
        <w:jc w:val="center"/>
        <w:tblLayout w:type="fixed"/>
        <w:tblLook w:val="0000" w:firstRow="0" w:lastRow="0" w:firstColumn="0" w:lastColumn="0" w:noHBand="0" w:noVBand="0"/>
      </w:tblPr>
      <w:tblGrid>
        <w:gridCol w:w="2506"/>
        <w:gridCol w:w="6494"/>
      </w:tblGrid>
      <w:tr w:rsidR="007C6361" w:rsidRPr="00D26030" w14:paraId="0F89F648" w14:textId="77777777">
        <w:trPr>
          <w:trHeight w:val="2115"/>
          <w:jc w:val="center"/>
        </w:trPr>
        <w:tc>
          <w:tcPr>
            <w:tcW w:w="2506" w:type="dxa"/>
            <w:vAlign w:val="center"/>
          </w:tcPr>
          <w:p w14:paraId="7E1136E2" w14:textId="77777777" w:rsidR="007C6361" w:rsidRPr="00291419" w:rsidRDefault="007C6361" w:rsidP="007C6361">
            <w:pPr>
              <w:pStyle w:val="Header"/>
              <w:tabs>
                <w:tab w:val="left" w:pos="851"/>
                <w:tab w:val="left" w:pos="6237"/>
              </w:tabs>
              <w:adjustRightInd w:val="0"/>
              <w:snapToGrid w:val="0"/>
              <w:spacing w:after="0" w:line="240" w:lineRule="auto"/>
              <w:jc w:val="center"/>
            </w:pPr>
            <w:r w:rsidRPr="00291419">
              <w:rPr>
                <w:noProof/>
              </w:rPr>
              <w:pict w14:anchorId="7787AE96">
                <v:shape id="Picture 2" o:spid="_x0000_i1026" type="#_x0000_t75" style="width:114pt;height:40.5pt;visibility:visible">
                  <v:imagedata r:id="rId12" o:title=""/>
                </v:shape>
              </w:pict>
            </w:r>
          </w:p>
        </w:tc>
        <w:tc>
          <w:tcPr>
            <w:tcW w:w="6494" w:type="dxa"/>
            <w:vAlign w:val="center"/>
          </w:tcPr>
          <w:p w14:paraId="75736BD1" w14:textId="77777777" w:rsidR="007C6361" w:rsidRPr="000C3E16" w:rsidRDefault="007C6361" w:rsidP="007C6361">
            <w:pPr>
              <w:keepNext/>
              <w:adjustRightInd w:val="0"/>
              <w:snapToGrid w:val="0"/>
              <w:spacing w:after="0" w:line="240" w:lineRule="auto"/>
              <w:ind w:hanging="18"/>
              <w:jc w:val="right"/>
              <w:outlineLvl w:val="8"/>
              <w:rPr>
                <w:rFonts w:ascii="Arial" w:hAnsi="Arial" w:cs="Arial"/>
                <w:b/>
                <w:color w:val="000000"/>
                <w:sz w:val="28"/>
                <w:szCs w:val="28"/>
                <w:lang w:val="en-AU" w:eastAsia="ja-JP"/>
              </w:rPr>
            </w:pPr>
            <w:r>
              <w:rPr>
                <w:rFonts w:ascii="Arial" w:eastAsia="??" w:hAnsi="Arial" w:cs="Arial"/>
                <w:b/>
                <w:color w:val="000000"/>
                <w:sz w:val="28"/>
                <w:szCs w:val="28"/>
                <w:lang w:val="en-AU" w:eastAsia="ja-JP"/>
              </w:rPr>
              <w:t>Second S</w:t>
            </w:r>
            <w:r w:rsidRPr="000C3E16">
              <w:rPr>
                <w:rFonts w:ascii="Arial" w:eastAsia="??" w:hAnsi="Arial" w:cs="Arial"/>
                <w:b/>
                <w:color w:val="000000"/>
                <w:sz w:val="28"/>
                <w:szCs w:val="28"/>
                <w:lang w:val="en-AU" w:eastAsia="ja-JP"/>
              </w:rPr>
              <w:t>ub-Committee on Standards and</w:t>
            </w:r>
            <w:r>
              <w:rPr>
                <w:rFonts w:ascii="Arial" w:eastAsia="??" w:hAnsi="Arial" w:cs="Arial"/>
                <w:b/>
                <w:color w:val="000000"/>
                <w:sz w:val="28"/>
                <w:szCs w:val="28"/>
                <w:lang w:val="en-AU" w:eastAsia="ja-JP"/>
              </w:rPr>
              <w:t xml:space="preserve"> </w:t>
            </w:r>
            <w:r w:rsidRPr="000C3E16">
              <w:rPr>
                <w:rFonts w:ascii="Arial" w:eastAsia="??" w:hAnsi="Arial" w:cs="Arial"/>
                <w:b/>
                <w:color w:val="000000"/>
                <w:sz w:val="28"/>
                <w:szCs w:val="28"/>
                <w:lang w:val="en-AU" w:eastAsia="ja-JP"/>
              </w:rPr>
              <w:t>Conformance</w:t>
            </w:r>
            <w:r>
              <w:rPr>
                <w:rFonts w:ascii="Arial" w:eastAsia="??" w:hAnsi="Arial" w:cs="Arial"/>
                <w:b/>
                <w:color w:val="000000"/>
                <w:sz w:val="28"/>
                <w:szCs w:val="28"/>
                <w:lang w:val="en-AU" w:eastAsia="ja-JP"/>
              </w:rPr>
              <w:t xml:space="preserve"> </w:t>
            </w:r>
            <w:r w:rsidRPr="000C3E16">
              <w:rPr>
                <w:rFonts w:ascii="Arial" w:eastAsia="??" w:hAnsi="Arial" w:cs="Arial"/>
                <w:b/>
                <w:color w:val="000000"/>
                <w:sz w:val="28"/>
                <w:szCs w:val="28"/>
                <w:lang w:val="en-AU" w:eastAsia="ja-JP"/>
              </w:rPr>
              <w:t>Meeting</w:t>
            </w:r>
          </w:p>
          <w:p w14:paraId="67FC2A88" w14:textId="77777777" w:rsidR="007C6361" w:rsidRPr="007C6361" w:rsidRDefault="007C6361" w:rsidP="007C6361">
            <w:pPr>
              <w:pStyle w:val="Heading9"/>
              <w:adjustRightInd w:val="0"/>
              <w:snapToGrid w:val="0"/>
              <w:spacing w:before="0" w:after="0" w:line="240" w:lineRule="auto"/>
              <w:jc w:val="right"/>
              <w:rPr>
                <w:rFonts w:ascii="Arial" w:hAnsi="Arial" w:cs="Arial"/>
                <w:b/>
                <w:sz w:val="28"/>
                <w:szCs w:val="28"/>
              </w:rPr>
            </w:pPr>
            <w:r w:rsidRPr="007C6361">
              <w:rPr>
                <w:rFonts w:ascii="Arial" w:hAnsi="Arial" w:cs="Arial"/>
                <w:b/>
                <w:sz w:val="28"/>
                <w:szCs w:val="28"/>
                <w:lang w:val="en-AU"/>
              </w:rPr>
              <w:t>San Francisco, United States</w:t>
            </w:r>
          </w:p>
          <w:p w14:paraId="4FF89C1D" w14:textId="77777777" w:rsidR="007C6361" w:rsidRPr="00291419" w:rsidRDefault="007C6361" w:rsidP="007C6361">
            <w:pPr>
              <w:pStyle w:val="Header"/>
              <w:tabs>
                <w:tab w:val="left" w:pos="851"/>
                <w:tab w:val="left" w:pos="6237"/>
              </w:tabs>
              <w:adjustRightInd w:val="0"/>
              <w:snapToGrid w:val="0"/>
              <w:spacing w:after="0" w:line="240" w:lineRule="auto"/>
              <w:jc w:val="right"/>
              <w:rPr>
                <w:rFonts w:ascii="Arial" w:eastAsia="??" w:hAnsi="Arial" w:cs="Arial"/>
                <w:b/>
                <w:color w:val="000000"/>
                <w:sz w:val="28"/>
                <w:szCs w:val="28"/>
              </w:rPr>
            </w:pPr>
            <w:r w:rsidRPr="00291419">
              <w:rPr>
                <w:rFonts w:ascii="Arial" w:eastAsia="??" w:hAnsi="Arial" w:cs="Arial"/>
                <w:b/>
                <w:color w:val="000000"/>
                <w:sz w:val="28"/>
                <w:szCs w:val="28"/>
              </w:rPr>
              <w:t>20-21 September 2011</w:t>
            </w:r>
          </w:p>
        </w:tc>
      </w:tr>
    </w:tbl>
    <w:p w14:paraId="3AB9D14B" w14:textId="77777777" w:rsidR="007C6361" w:rsidRPr="0096049C" w:rsidRDefault="007C6361" w:rsidP="007C6361">
      <w:pPr>
        <w:pStyle w:val="ListParagraph"/>
        <w:adjustRightInd w:val="0"/>
        <w:snapToGrid w:val="0"/>
        <w:ind w:leftChars="0" w:left="0"/>
        <w:jc w:val="left"/>
        <w:rPr>
          <w:sz w:val="4"/>
          <w:szCs w:val="4"/>
        </w:rPr>
      </w:pPr>
    </w:p>
    <w:p w14:paraId="059EF960" w14:textId="77777777" w:rsidR="007C6361" w:rsidRDefault="007C6361" w:rsidP="004170FD">
      <w:pPr>
        <w:pStyle w:val="NoSpacing1"/>
        <w:jc w:val="center"/>
        <w:rPr>
          <w:rFonts w:ascii="Arial" w:hAnsi="Arial" w:cs="Arial"/>
          <w:b/>
          <w:sz w:val="20"/>
          <w:szCs w:val="20"/>
        </w:rPr>
        <w:sectPr w:rsidR="007C6361" w:rsidSect="005E4A8E">
          <w:headerReference w:type="default" r:id="rId13"/>
          <w:footerReference w:type="default" r:id="rId14"/>
          <w:headerReference w:type="first" r:id="rId15"/>
          <w:pgSz w:w="11909" w:h="16834" w:code="9"/>
          <w:pgMar w:top="1440" w:right="1440" w:bottom="1440" w:left="1440" w:header="720" w:footer="720" w:gutter="0"/>
          <w:cols w:space="720"/>
          <w:titlePg/>
          <w:docGrid w:linePitch="360"/>
        </w:sectPr>
      </w:pPr>
    </w:p>
    <w:p w14:paraId="3ED18428" w14:textId="77777777" w:rsidR="004170FD" w:rsidRPr="005E4A8E" w:rsidRDefault="00BC6FD9" w:rsidP="004170FD">
      <w:pPr>
        <w:pStyle w:val="NoSpacing1"/>
        <w:jc w:val="center"/>
        <w:rPr>
          <w:rFonts w:ascii="Arial" w:hAnsi="Arial" w:cs="Arial"/>
          <w:b/>
          <w:sz w:val="20"/>
          <w:szCs w:val="20"/>
        </w:rPr>
      </w:pPr>
      <w:r w:rsidRPr="005E4A8E">
        <w:rPr>
          <w:rFonts w:ascii="Arial" w:hAnsi="Arial" w:cs="Arial"/>
          <w:b/>
          <w:sz w:val="20"/>
          <w:szCs w:val="20"/>
        </w:rPr>
        <w:lastRenderedPageBreak/>
        <w:t>APEC Subcommittee on Standards and Conformance</w:t>
      </w:r>
      <w:r w:rsidR="004170FD" w:rsidRPr="005E4A8E">
        <w:rPr>
          <w:rFonts w:ascii="Arial" w:hAnsi="Arial" w:cs="Arial"/>
          <w:b/>
          <w:sz w:val="20"/>
          <w:szCs w:val="20"/>
        </w:rPr>
        <w:t xml:space="preserve"> </w:t>
      </w:r>
    </w:p>
    <w:p w14:paraId="06C7D9C9" w14:textId="77777777" w:rsidR="00BC6FD9" w:rsidRPr="005E4A8E" w:rsidRDefault="00BC6FD9" w:rsidP="004170FD">
      <w:pPr>
        <w:pStyle w:val="NoSpacing1"/>
        <w:jc w:val="center"/>
        <w:rPr>
          <w:rFonts w:ascii="Arial" w:hAnsi="Arial" w:cs="Arial"/>
          <w:sz w:val="20"/>
          <w:szCs w:val="20"/>
        </w:rPr>
      </w:pPr>
      <w:r w:rsidRPr="005E4A8E">
        <w:rPr>
          <w:rFonts w:ascii="Arial" w:hAnsi="Arial" w:cs="Arial"/>
          <w:b/>
          <w:sz w:val="20"/>
          <w:szCs w:val="20"/>
        </w:rPr>
        <w:t>APEC Wine Regulatory Forum Report</w:t>
      </w:r>
    </w:p>
    <w:p w14:paraId="3BFAB309" w14:textId="77777777" w:rsidR="00BC6FD9" w:rsidRPr="005E4A8E" w:rsidRDefault="00BC6FD9" w:rsidP="00BC6FD9">
      <w:pPr>
        <w:spacing w:after="0" w:line="240" w:lineRule="auto"/>
        <w:rPr>
          <w:rFonts w:ascii="Arial" w:hAnsi="Arial" w:cs="Arial"/>
          <w:sz w:val="20"/>
          <w:szCs w:val="20"/>
        </w:rPr>
      </w:pPr>
    </w:p>
    <w:p w14:paraId="1BB330E5" w14:textId="77777777" w:rsidR="00BC6FD9" w:rsidRPr="005E4A8E" w:rsidRDefault="00BC6FD9" w:rsidP="00BC6FD9">
      <w:pPr>
        <w:spacing w:after="0" w:line="240" w:lineRule="auto"/>
        <w:jc w:val="center"/>
        <w:rPr>
          <w:rFonts w:ascii="Arial" w:hAnsi="Arial" w:cs="Arial"/>
          <w:b/>
          <w:sz w:val="20"/>
          <w:szCs w:val="20"/>
          <w:u w:val="single"/>
        </w:rPr>
      </w:pPr>
      <w:r w:rsidRPr="005E4A8E">
        <w:rPr>
          <w:rFonts w:ascii="Arial" w:hAnsi="Arial" w:cs="Arial"/>
          <w:b/>
          <w:sz w:val="20"/>
          <w:szCs w:val="20"/>
          <w:u w:val="single"/>
        </w:rPr>
        <w:t>Background</w:t>
      </w:r>
    </w:p>
    <w:p w14:paraId="446785C0" w14:textId="77777777" w:rsidR="00BC6FD9" w:rsidRPr="005E4A8E" w:rsidRDefault="00BC6FD9" w:rsidP="00BC6FD9">
      <w:pPr>
        <w:spacing w:after="0" w:line="240" w:lineRule="auto"/>
        <w:jc w:val="center"/>
        <w:rPr>
          <w:rFonts w:ascii="Arial" w:hAnsi="Arial" w:cs="Arial"/>
          <w:b/>
          <w:sz w:val="20"/>
          <w:szCs w:val="20"/>
          <w:u w:val="single"/>
        </w:rPr>
      </w:pPr>
    </w:p>
    <w:p w14:paraId="5282F84E" w14:textId="77777777" w:rsidR="00BC6FD9" w:rsidRPr="005E4A8E" w:rsidRDefault="00BC6FD9" w:rsidP="00BC6FD9">
      <w:pPr>
        <w:spacing w:after="0" w:line="240" w:lineRule="auto"/>
        <w:rPr>
          <w:rFonts w:ascii="Arial" w:hAnsi="Arial" w:cs="Arial"/>
          <w:b/>
          <w:sz w:val="20"/>
          <w:szCs w:val="20"/>
          <w:u w:val="single"/>
        </w:rPr>
      </w:pPr>
      <w:r w:rsidRPr="005E4A8E">
        <w:rPr>
          <w:rFonts w:ascii="Arial" w:hAnsi="Arial" w:cs="Arial"/>
          <w:sz w:val="20"/>
          <w:szCs w:val="20"/>
        </w:rPr>
        <w:t>At the SOM I meeting held in Lima, Peru in 2008, the APEC Sub-Committee on Standards and Conformance (SCSC) endorsed the establishment of a Wine Regulatory Forum (WRF)</w:t>
      </w:r>
      <w:r w:rsidR="006E389D" w:rsidRPr="005E4A8E">
        <w:rPr>
          <w:rStyle w:val="FootnoteReference"/>
          <w:rFonts w:ascii="Arial" w:hAnsi="Arial" w:cs="Arial"/>
          <w:sz w:val="20"/>
          <w:szCs w:val="20"/>
        </w:rPr>
        <w:footnoteReference w:id="1"/>
      </w:r>
      <w:r w:rsidRPr="005E4A8E">
        <w:rPr>
          <w:rFonts w:ascii="Arial" w:hAnsi="Arial" w:cs="Arial"/>
          <w:sz w:val="20"/>
          <w:szCs w:val="20"/>
        </w:rPr>
        <w:t>.  This report summarizes the discussions and outcomes of the APEC Wine Regulatory Forum Seminar held in San Francisco, California on September 18-19, 2011</w:t>
      </w:r>
      <w:r w:rsidRPr="005E4A8E">
        <w:rPr>
          <w:rStyle w:val="FootnoteReference"/>
          <w:rFonts w:ascii="Arial" w:hAnsi="Arial" w:cs="Arial"/>
          <w:sz w:val="20"/>
          <w:szCs w:val="20"/>
        </w:rPr>
        <w:footnoteReference w:id="2"/>
      </w:r>
      <w:r w:rsidRPr="005E4A8E">
        <w:rPr>
          <w:rFonts w:ascii="Arial" w:hAnsi="Arial" w:cs="Arial"/>
          <w:sz w:val="20"/>
          <w:szCs w:val="20"/>
        </w:rPr>
        <w:t>.</w:t>
      </w:r>
    </w:p>
    <w:p w14:paraId="057CB536" w14:textId="77777777" w:rsidR="00BC6FD9" w:rsidRPr="005E4A8E" w:rsidRDefault="00BC6FD9" w:rsidP="00BC6FD9">
      <w:pPr>
        <w:spacing w:after="0" w:line="240" w:lineRule="auto"/>
        <w:jc w:val="center"/>
        <w:rPr>
          <w:rFonts w:ascii="Arial" w:hAnsi="Arial" w:cs="Arial"/>
          <w:b/>
          <w:sz w:val="20"/>
          <w:szCs w:val="20"/>
          <w:u w:val="single"/>
        </w:rPr>
      </w:pPr>
    </w:p>
    <w:p w14:paraId="1C40892C" w14:textId="77777777" w:rsidR="00BC6FD9" w:rsidRPr="005E4A8E" w:rsidRDefault="00BC6FD9" w:rsidP="00BC6FD9">
      <w:pPr>
        <w:pStyle w:val="NoSpacing1"/>
        <w:rPr>
          <w:rFonts w:ascii="Arial" w:hAnsi="Arial" w:cs="Arial"/>
          <w:b/>
          <w:sz w:val="20"/>
          <w:szCs w:val="20"/>
          <w:u w:val="single"/>
        </w:rPr>
      </w:pPr>
      <w:r w:rsidRPr="005E4A8E">
        <w:rPr>
          <w:rFonts w:ascii="Arial" w:hAnsi="Arial" w:cs="Arial"/>
          <w:spacing w:val="-2"/>
          <w:sz w:val="20"/>
          <w:szCs w:val="20"/>
        </w:rPr>
        <w:t>The WRF Seminar marked the first-ever meeting of wine regulators and industry from both wine producing and consuming economies.  The seminar was sponsored by the United States, and cosponsored by</w:t>
      </w:r>
      <w:r w:rsidRPr="005E4A8E">
        <w:rPr>
          <w:rFonts w:ascii="Arial" w:hAnsi="Arial" w:cs="Arial"/>
          <w:sz w:val="20"/>
          <w:szCs w:val="20"/>
        </w:rPr>
        <w:t xml:space="preserve"> Australia, Chile, New Zealand, and Peru.  Eighteen of the 21 member economies participated and twelve served as speakers</w:t>
      </w:r>
      <w:r w:rsidRPr="005E4A8E">
        <w:rPr>
          <w:rStyle w:val="FootnoteReference"/>
          <w:rFonts w:ascii="Arial" w:hAnsi="Arial" w:cs="Arial"/>
          <w:sz w:val="20"/>
          <w:szCs w:val="20"/>
        </w:rPr>
        <w:footnoteReference w:id="3"/>
      </w:r>
      <w:r w:rsidRPr="005E4A8E">
        <w:rPr>
          <w:rFonts w:ascii="Arial" w:hAnsi="Arial" w:cs="Arial"/>
          <w:sz w:val="20"/>
          <w:szCs w:val="20"/>
        </w:rPr>
        <w:t>. The event included a facilitator-led Regulators Breakfast, and tours of the Concannon Vineyard Winery in Livermore Valley and the U.S. Alcohol and Tobacco Tax and Trade Bureau’s Compliance Laboratory in Walnut Creek, California.  The WRF seminar produced two reference documents:  “The Compendium of Wine Import Certificate Requirements of APEC Economies” and the “APEC Wine Regulatory Forum Contact List”.</w:t>
      </w:r>
    </w:p>
    <w:p w14:paraId="72DB2B6E" w14:textId="77777777" w:rsidR="00BC6FD9" w:rsidRPr="005E4A8E" w:rsidRDefault="00BC6FD9" w:rsidP="00BC6FD9">
      <w:pPr>
        <w:pStyle w:val="NoSpacing1"/>
        <w:jc w:val="center"/>
        <w:rPr>
          <w:rFonts w:ascii="Arial" w:hAnsi="Arial" w:cs="Arial"/>
          <w:b/>
          <w:sz w:val="20"/>
          <w:szCs w:val="20"/>
          <w:u w:val="single"/>
        </w:rPr>
      </w:pPr>
    </w:p>
    <w:p w14:paraId="5D1E21FB" w14:textId="77777777" w:rsidR="00BC6FD9" w:rsidRPr="005E4A8E" w:rsidRDefault="00BC6FD9" w:rsidP="00BC6FD9">
      <w:pPr>
        <w:pStyle w:val="NoSpacing1"/>
        <w:jc w:val="center"/>
        <w:rPr>
          <w:rFonts w:ascii="Arial" w:hAnsi="Arial" w:cs="Arial"/>
          <w:sz w:val="20"/>
          <w:szCs w:val="20"/>
        </w:rPr>
      </w:pPr>
      <w:r w:rsidRPr="005E4A8E">
        <w:rPr>
          <w:rFonts w:ascii="Arial" w:hAnsi="Arial" w:cs="Arial"/>
          <w:b/>
          <w:sz w:val="20"/>
          <w:szCs w:val="20"/>
          <w:u w:val="single"/>
        </w:rPr>
        <w:t xml:space="preserve">Overview of APEC Wine Trade </w:t>
      </w:r>
      <w:r w:rsidRPr="005E4A8E">
        <w:rPr>
          <w:rStyle w:val="FootnoteReference"/>
          <w:rFonts w:ascii="Arial" w:hAnsi="Arial" w:cs="Arial"/>
          <w:sz w:val="20"/>
          <w:szCs w:val="20"/>
        </w:rPr>
        <w:footnoteReference w:id="4"/>
      </w:r>
      <w:r w:rsidRPr="005E4A8E">
        <w:rPr>
          <w:rFonts w:ascii="Arial" w:hAnsi="Arial" w:cs="Arial"/>
          <w:sz w:val="20"/>
          <w:szCs w:val="20"/>
        </w:rPr>
        <w:t xml:space="preserve"> </w:t>
      </w:r>
    </w:p>
    <w:p w14:paraId="680A804F" w14:textId="77777777" w:rsidR="00BC6FD9" w:rsidRPr="005E4A8E" w:rsidRDefault="00BC6FD9" w:rsidP="00BC6FD9">
      <w:pPr>
        <w:pStyle w:val="NoSpacing1"/>
        <w:jc w:val="center"/>
        <w:rPr>
          <w:rFonts w:ascii="Arial" w:hAnsi="Arial" w:cs="Arial"/>
          <w:sz w:val="20"/>
          <w:szCs w:val="20"/>
        </w:rPr>
      </w:pPr>
    </w:p>
    <w:p w14:paraId="75E946A4" w14:textId="77777777" w:rsidR="00BC6FD9" w:rsidRPr="005E4A8E" w:rsidRDefault="00BC6FD9" w:rsidP="00BC6FD9">
      <w:pPr>
        <w:pStyle w:val="NoSpacing1"/>
        <w:rPr>
          <w:rFonts w:ascii="Arial" w:hAnsi="Arial" w:cs="Arial"/>
          <w:sz w:val="20"/>
          <w:szCs w:val="20"/>
        </w:rPr>
      </w:pPr>
      <w:r w:rsidRPr="005E4A8E">
        <w:rPr>
          <w:rFonts w:ascii="Arial" w:hAnsi="Arial" w:cs="Arial"/>
          <w:sz w:val="20"/>
          <w:szCs w:val="20"/>
        </w:rPr>
        <w:t xml:space="preserve">APEC region trade in rice, grape and other fruit wine has grown dramatically in importance for both exporting and importing economies. </w:t>
      </w:r>
    </w:p>
    <w:p w14:paraId="1147E9A8" w14:textId="77777777" w:rsidR="00BC6FD9" w:rsidRPr="005E4A8E" w:rsidRDefault="00BC6FD9" w:rsidP="00BC6FD9">
      <w:pPr>
        <w:pStyle w:val="NoSpacing1"/>
        <w:rPr>
          <w:rFonts w:ascii="Arial" w:hAnsi="Arial" w:cs="Arial"/>
          <w:sz w:val="20"/>
          <w:szCs w:val="20"/>
        </w:rPr>
      </w:pPr>
    </w:p>
    <w:p w14:paraId="0EDB910D" w14:textId="77777777" w:rsidR="00BC6FD9" w:rsidRPr="005E4A8E" w:rsidRDefault="00BC6FD9" w:rsidP="00BC6FD9">
      <w:pPr>
        <w:pStyle w:val="NoSpacing1"/>
        <w:rPr>
          <w:rFonts w:ascii="Arial" w:hAnsi="Arial" w:cs="Arial"/>
          <w:sz w:val="20"/>
          <w:szCs w:val="20"/>
        </w:rPr>
      </w:pPr>
      <w:r w:rsidRPr="005E4A8E">
        <w:rPr>
          <w:rFonts w:ascii="Arial" w:hAnsi="Arial" w:cs="Arial"/>
          <w:sz w:val="20"/>
          <w:szCs w:val="20"/>
        </w:rPr>
        <w:pict w14:anchorId="2B419952">
          <v:shape id="_x0000_i1027" type="#_x0000_t75" style="width:372pt;height:280pt;visibility:visible">
            <v:imagedata r:id="rId16" o:title=""/>
          </v:shape>
        </w:pict>
      </w:r>
    </w:p>
    <w:p w14:paraId="185849FC" w14:textId="77777777" w:rsidR="00BC6FD9" w:rsidRPr="005E4A8E" w:rsidRDefault="00BC6FD9" w:rsidP="00BC6FD9">
      <w:pPr>
        <w:pStyle w:val="NoSpacing1"/>
        <w:rPr>
          <w:rFonts w:ascii="Arial" w:hAnsi="Arial" w:cs="Arial"/>
          <w:sz w:val="20"/>
          <w:szCs w:val="20"/>
        </w:rPr>
      </w:pPr>
    </w:p>
    <w:p w14:paraId="0E1B0D1C" w14:textId="77777777" w:rsidR="00BC6FD9" w:rsidRPr="005E4A8E" w:rsidRDefault="00BC6FD9" w:rsidP="00BC6FD9">
      <w:pPr>
        <w:pStyle w:val="NoSpacing1"/>
        <w:rPr>
          <w:rFonts w:ascii="Arial" w:hAnsi="Arial" w:cs="Arial"/>
          <w:sz w:val="20"/>
          <w:szCs w:val="20"/>
        </w:rPr>
      </w:pPr>
      <w:r w:rsidRPr="005E4A8E">
        <w:rPr>
          <w:rFonts w:ascii="Arial" w:hAnsi="Arial" w:cs="Arial"/>
          <w:sz w:val="20"/>
          <w:szCs w:val="20"/>
        </w:rPr>
        <w:t xml:space="preserve">As wine consumption increased, trade in wine among APEC economies and other world nations increased tremendously.  In 2010, the value of the APEC economies’ global wine trade climbed to US $18 billion.  </w:t>
      </w:r>
    </w:p>
    <w:p w14:paraId="3ED2A65E" w14:textId="77777777" w:rsidR="00BC6FD9" w:rsidRPr="005E4A8E" w:rsidRDefault="00BC6FD9" w:rsidP="00BC6FD9">
      <w:pPr>
        <w:pStyle w:val="NoSpacing1"/>
        <w:rPr>
          <w:rFonts w:ascii="Arial" w:hAnsi="Arial" w:cs="Arial"/>
          <w:sz w:val="20"/>
          <w:szCs w:val="20"/>
        </w:rPr>
      </w:pPr>
      <w:r w:rsidRPr="005E4A8E">
        <w:rPr>
          <w:rFonts w:ascii="Arial" w:hAnsi="Arial" w:cs="Arial"/>
          <w:sz w:val="20"/>
          <w:szCs w:val="20"/>
        </w:rPr>
        <w:lastRenderedPageBreak/>
        <w:pict w14:anchorId="0EA396C4">
          <v:shape id="_x0000_i1028" type="#_x0000_t75" style="width:357pt;height:269.5pt;visibility:visible">
            <v:imagedata r:id="rId17" o:title=""/>
          </v:shape>
        </w:pict>
      </w:r>
    </w:p>
    <w:p w14:paraId="32452AA8" w14:textId="77777777" w:rsidR="00BC6FD9" w:rsidRPr="005E4A8E" w:rsidRDefault="00BC6FD9" w:rsidP="00BC6FD9">
      <w:pPr>
        <w:pStyle w:val="NoSpacing1"/>
        <w:rPr>
          <w:rFonts w:ascii="Arial" w:hAnsi="Arial" w:cs="Arial"/>
          <w:sz w:val="20"/>
          <w:szCs w:val="20"/>
        </w:rPr>
      </w:pPr>
    </w:p>
    <w:p w14:paraId="228245F3" w14:textId="77777777" w:rsidR="00BC6FD9" w:rsidRPr="005E4A8E" w:rsidRDefault="00BC6FD9" w:rsidP="00BC6FD9">
      <w:pPr>
        <w:pStyle w:val="NoSpacing1"/>
        <w:rPr>
          <w:rFonts w:ascii="Arial" w:hAnsi="Arial" w:cs="Arial"/>
          <w:sz w:val="20"/>
          <w:szCs w:val="20"/>
        </w:rPr>
      </w:pPr>
      <w:r w:rsidRPr="005E4A8E">
        <w:rPr>
          <w:rFonts w:ascii="Arial" w:hAnsi="Arial" w:cs="Arial"/>
          <w:sz w:val="20"/>
          <w:szCs w:val="20"/>
        </w:rPr>
        <w:t>Over the past decade, there has been an enormous growth in wine exports from Asian APEC economies. The value of these exports climbed nearly fourfold to approximately US$ 665 million, wi</w:t>
      </w:r>
      <w:r w:rsidR="00094B8C" w:rsidRPr="005E4A8E">
        <w:rPr>
          <w:rFonts w:ascii="Arial" w:hAnsi="Arial" w:cs="Arial"/>
          <w:sz w:val="20"/>
          <w:szCs w:val="20"/>
        </w:rPr>
        <w:t xml:space="preserve">th high rates of growth to APEC </w:t>
      </w:r>
      <w:r w:rsidRPr="005E4A8E">
        <w:rPr>
          <w:rFonts w:ascii="Arial" w:hAnsi="Arial" w:cs="Arial"/>
          <w:sz w:val="20"/>
          <w:szCs w:val="20"/>
        </w:rPr>
        <w:t xml:space="preserve">economies in both the Americas and Oceania. </w:t>
      </w:r>
    </w:p>
    <w:p w14:paraId="7AC249B9" w14:textId="77777777" w:rsidR="00BC6FD9" w:rsidRPr="005E4A8E" w:rsidRDefault="00094B8C" w:rsidP="00BC6FD9">
      <w:pPr>
        <w:pStyle w:val="NoSpacing1"/>
        <w:rPr>
          <w:rFonts w:ascii="Arial" w:hAnsi="Arial" w:cs="Arial"/>
          <w:sz w:val="20"/>
          <w:szCs w:val="20"/>
        </w:rPr>
      </w:pPr>
      <w:r w:rsidRPr="005E4A8E">
        <w:rPr>
          <w:rFonts w:ascii="Arial" w:hAnsi="Arial" w:cs="Arial"/>
          <w:sz w:val="20"/>
          <w:szCs w:val="20"/>
        </w:rPr>
        <w:pict w14:anchorId="34DB849E">
          <v:shape id="Picture 3" o:spid="_x0000_i1029" type="#_x0000_t75" style="width:349.5pt;height:264pt;visibility:visible">
            <v:imagedata r:id="rId18" o:title=""/>
          </v:shape>
        </w:pict>
      </w:r>
    </w:p>
    <w:p w14:paraId="0A93453B" w14:textId="77777777" w:rsidR="00094B8C" w:rsidRPr="005E4A8E" w:rsidRDefault="00094B8C" w:rsidP="00BC6FD9">
      <w:pPr>
        <w:pStyle w:val="NoSpacing1"/>
        <w:rPr>
          <w:rFonts w:ascii="Arial" w:hAnsi="Arial" w:cs="Arial"/>
          <w:sz w:val="20"/>
          <w:szCs w:val="20"/>
        </w:rPr>
      </w:pPr>
      <w:r w:rsidRPr="005E4A8E">
        <w:rPr>
          <w:rFonts w:ascii="Arial" w:hAnsi="Arial" w:cs="Arial"/>
          <w:sz w:val="20"/>
          <w:szCs w:val="20"/>
        </w:rPr>
        <w:t>There have also been</w:t>
      </w:r>
      <w:r w:rsidR="00BC6FD9" w:rsidRPr="005E4A8E">
        <w:rPr>
          <w:rFonts w:ascii="Arial" w:hAnsi="Arial" w:cs="Arial"/>
          <w:sz w:val="20"/>
          <w:szCs w:val="20"/>
        </w:rPr>
        <w:t xml:space="preserve"> increases in the value of wine exports from APEC economies in the Americas and in Oceania. In total, the value of wine trade among APEC economies soared from US$ 1.1 billion in 2000 to US$ 3.6 billion in 2010, a</w:t>
      </w:r>
      <w:r w:rsidRPr="005E4A8E">
        <w:rPr>
          <w:rFonts w:ascii="Arial" w:hAnsi="Arial" w:cs="Arial"/>
          <w:sz w:val="20"/>
          <w:szCs w:val="20"/>
        </w:rPr>
        <w:t xml:space="preserve">n </w:t>
      </w:r>
      <w:r w:rsidR="00BC6FD9" w:rsidRPr="005E4A8E">
        <w:rPr>
          <w:rFonts w:ascii="Arial" w:hAnsi="Arial" w:cs="Arial"/>
          <w:sz w:val="20"/>
          <w:szCs w:val="20"/>
        </w:rPr>
        <w:t xml:space="preserve">increase of 223%. </w:t>
      </w:r>
    </w:p>
    <w:p w14:paraId="4ED3A832" w14:textId="77777777" w:rsidR="00BC6FD9" w:rsidRPr="005E4A8E" w:rsidRDefault="00094B8C" w:rsidP="00BC6FD9">
      <w:pPr>
        <w:pStyle w:val="NoSpacing1"/>
        <w:rPr>
          <w:rFonts w:ascii="Arial" w:hAnsi="Arial" w:cs="Arial"/>
          <w:sz w:val="20"/>
          <w:szCs w:val="20"/>
        </w:rPr>
      </w:pPr>
      <w:r w:rsidRPr="005E4A8E">
        <w:rPr>
          <w:rFonts w:ascii="Arial" w:hAnsi="Arial" w:cs="Arial"/>
          <w:sz w:val="20"/>
          <w:szCs w:val="20"/>
        </w:rPr>
        <w:lastRenderedPageBreak/>
        <w:pict w14:anchorId="647B69B4">
          <v:shape id="Picture 4" o:spid="_x0000_i1030" type="#_x0000_t75" style="width:354pt;height:266.5pt;visibility:visible">
            <v:imagedata r:id="rId19" o:title=""/>
          </v:shape>
        </w:pict>
      </w:r>
    </w:p>
    <w:p w14:paraId="28E8761C" w14:textId="77777777" w:rsidR="00094B8C" w:rsidRPr="005E4A8E" w:rsidRDefault="00094B8C" w:rsidP="00BC6FD9">
      <w:pPr>
        <w:tabs>
          <w:tab w:val="left" w:pos="0"/>
          <w:tab w:val="left" w:pos="1134"/>
        </w:tabs>
        <w:adjustRightInd w:val="0"/>
        <w:snapToGrid w:val="0"/>
        <w:jc w:val="center"/>
        <w:rPr>
          <w:rFonts w:ascii="Arial" w:hAnsi="Arial" w:cs="Arial"/>
          <w:b/>
          <w:sz w:val="20"/>
          <w:szCs w:val="20"/>
          <w:u w:val="single"/>
        </w:rPr>
      </w:pPr>
    </w:p>
    <w:p w14:paraId="7907D1E1" w14:textId="77777777" w:rsidR="00BC6FD9" w:rsidRPr="005E4A8E" w:rsidRDefault="00BC6FD9" w:rsidP="00BC6FD9">
      <w:pPr>
        <w:tabs>
          <w:tab w:val="left" w:pos="0"/>
          <w:tab w:val="left" w:pos="1134"/>
        </w:tabs>
        <w:adjustRightInd w:val="0"/>
        <w:snapToGrid w:val="0"/>
        <w:jc w:val="center"/>
        <w:rPr>
          <w:rFonts w:ascii="Arial" w:hAnsi="Arial" w:cs="Arial"/>
          <w:b/>
          <w:iCs/>
          <w:color w:val="000000"/>
          <w:spacing w:val="-3"/>
          <w:sz w:val="20"/>
          <w:szCs w:val="20"/>
          <w:u w:val="single"/>
          <w:lang w:val="en-GB"/>
        </w:rPr>
      </w:pPr>
      <w:r w:rsidRPr="005E4A8E">
        <w:rPr>
          <w:rFonts w:ascii="Arial" w:hAnsi="Arial" w:cs="Arial"/>
          <w:b/>
          <w:sz w:val="20"/>
          <w:szCs w:val="20"/>
          <w:u w:val="single"/>
        </w:rPr>
        <w:t xml:space="preserve">Targeted Outcomes of CTI: </w:t>
      </w:r>
      <w:r w:rsidRPr="005E4A8E">
        <w:rPr>
          <w:rFonts w:ascii="Arial" w:hAnsi="Arial" w:cs="Arial"/>
          <w:b/>
          <w:iCs/>
          <w:color w:val="000000"/>
          <w:spacing w:val="-3"/>
          <w:sz w:val="20"/>
          <w:szCs w:val="20"/>
          <w:u w:val="single"/>
          <w:lang w:val="en-GB"/>
        </w:rPr>
        <w:t>SCSC 40/2010T (as envisioned in the project proposal)</w:t>
      </w:r>
    </w:p>
    <w:p w14:paraId="3C0BB068" w14:textId="77777777" w:rsidR="00BC6FD9" w:rsidRPr="005E4A8E" w:rsidRDefault="00BC6FD9" w:rsidP="00BC6FD9">
      <w:pPr>
        <w:tabs>
          <w:tab w:val="left" w:pos="0"/>
          <w:tab w:val="left" w:pos="1134"/>
        </w:tabs>
        <w:adjustRightInd w:val="0"/>
        <w:snapToGrid w:val="0"/>
        <w:rPr>
          <w:rStyle w:val="Emphasis"/>
          <w:rFonts w:ascii="Arial" w:hAnsi="Arial" w:cs="Arial"/>
          <w:i w:val="0"/>
          <w:sz w:val="20"/>
          <w:szCs w:val="20"/>
        </w:rPr>
      </w:pPr>
      <w:r w:rsidRPr="005E4A8E">
        <w:rPr>
          <w:rStyle w:val="Emphasis"/>
          <w:rFonts w:ascii="Arial" w:hAnsi="Arial" w:cs="Arial"/>
          <w:i w:val="0"/>
          <w:sz w:val="20"/>
          <w:szCs w:val="20"/>
        </w:rPr>
        <w:t>The WRF met the project goals as listed in the project proposal.  Participants have:</w:t>
      </w:r>
    </w:p>
    <w:p w14:paraId="277B4F70" w14:textId="77777777" w:rsidR="00BC6FD9" w:rsidRPr="005E4A8E" w:rsidRDefault="00BC6FD9" w:rsidP="00A95C71">
      <w:pPr>
        <w:pStyle w:val="NoSpacing1"/>
        <w:numPr>
          <w:ilvl w:val="0"/>
          <w:numId w:val="12"/>
        </w:numPr>
        <w:rPr>
          <w:rFonts w:ascii="Arial" w:hAnsi="Arial" w:cs="Arial"/>
          <w:sz w:val="20"/>
          <w:szCs w:val="20"/>
        </w:rPr>
      </w:pPr>
      <w:r w:rsidRPr="005E4A8E">
        <w:rPr>
          <w:rStyle w:val="Emphasis"/>
          <w:rFonts w:ascii="Arial" w:hAnsi="Arial" w:cs="Arial"/>
          <w:i w:val="0"/>
          <w:sz w:val="20"/>
          <w:szCs w:val="20"/>
        </w:rPr>
        <w:t xml:space="preserve">Identified key principles for regulations that could be considered when regulating </w:t>
      </w:r>
      <w:r w:rsidRPr="005E4A8E">
        <w:rPr>
          <w:rFonts w:ascii="Arial" w:hAnsi="Arial" w:cs="Arial"/>
          <w:spacing w:val="-2"/>
          <w:sz w:val="20"/>
          <w:szCs w:val="20"/>
          <w:lang w:val="en-GB"/>
        </w:rPr>
        <w:t xml:space="preserve">rice, grape and other fruit </w:t>
      </w:r>
      <w:r w:rsidRPr="005E4A8E">
        <w:rPr>
          <w:rStyle w:val="Emphasis"/>
          <w:rFonts w:ascii="Arial" w:hAnsi="Arial" w:cs="Arial"/>
          <w:i w:val="0"/>
          <w:sz w:val="20"/>
          <w:szCs w:val="20"/>
        </w:rPr>
        <w:t>wine with a view to promoting regulatory alignment in the region</w:t>
      </w:r>
      <w:r w:rsidRPr="005E4A8E">
        <w:rPr>
          <w:rStyle w:val="Emphasis"/>
          <w:rFonts w:ascii="Arial" w:hAnsi="Arial" w:cs="Arial"/>
          <w:i w:val="0"/>
          <w:iCs w:val="0"/>
          <w:sz w:val="20"/>
          <w:szCs w:val="20"/>
        </w:rPr>
        <w:t xml:space="preserve"> and removing </w:t>
      </w:r>
      <w:r w:rsidRPr="005E4A8E">
        <w:rPr>
          <w:rFonts w:ascii="Arial" w:hAnsi="Arial" w:cs="Arial"/>
          <w:spacing w:val="-2"/>
          <w:sz w:val="20"/>
          <w:szCs w:val="20"/>
        </w:rPr>
        <w:t xml:space="preserve">costly, unnecessary and unduly burdensome regulatory choke points </w:t>
      </w:r>
      <w:r w:rsidRPr="005E4A8E">
        <w:rPr>
          <w:rFonts w:ascii="Arial" w:hAnsi="Arial" w:cs="Arial"/>
          <w:sz w:val="20"/>
          <w:szCs w:val="20"/>
        </w:rPr>
        <w:t>with respect to oenological practices, definition and/or description of products and labeling requirements and methods for analyzing</w:t>
      </w:r>
      <w:r w:rsidR="00454720" w:rsidRPr="005E4A8E">
        <w:rPr>
          <w:rFonts w:ascii="Arial" w:hAnsi="Arial" w:cs="Arial"/>
          <w:sz w:val="20"/>
          <w:szCs w:val="20"/>
        </w:rPr>
        <w:t>,</w:t>
      </w:r>
      <w:r w:rsidRPr="005E4A8E">
        <w:rPr>
          <w:rFonts w:ascii="Arial" w:hAnsi="Arial" w:cs="Arial"/>
          <w:sz w:val="20"/>
          <w:szCs w:val="20"/>
        </w:rPr>
        <w:t xml:space="preserve">  assessing</w:t>
      </w:r>
      <w:r w:rsidR="00454720" w:rsidRPr="005E4A8E">
        <w:rPr>
          <w:rFonts w:ascii="Arial" w:hAnsi="Arial" w:cs="Arial"/>
          <w:sz w:val="20"/>
          <w:szCs w:val="20"/>
        </w:rPr>
        <w:t>,</w:t>
      </w:r>
      <w:r w:rsidRPr="005E4A8E">
        <w:rPr>
          <w:rFonts w:ascii="Arial" w:hAnsi="Arial" w:cs="Arial"/>
          <w:sz w:val="20"/>
          <w:szCs w:val="20"/>
        </w:rPr>
        <w:t xml:space="preserve"> or certifying wine products</w:t>
      </w:r>
      <w:r w:rsidR="00454720" w:rsidRPr="005E4A8E">
        <w:rPr>
          <w:rFonts w:ascii="Arial" w:hAnsi="Arial" w:cs="Arial"/>
          <w:sz w:val="20"/>
          <w:szCs w:val="20"/>
        </w:rPr>
        <w:t>;</w:t>
      </w:r>
      <w:r w:rsidRPr="005E4A8E">
        <w:rPr>
          <w:rFonts w:ascii="Arial" w:hAnsi="Arial" w:cs="Arial"/>
          <w:sz w:val="20"/>
          <w:szCs w:val="20"/>
        </w:rPr>
        <w:t xml:space="preserve">  </w:t>
      </w:r>
    </w:p>
    <w:p w14:paraId="40A3445E" w14:textId="77777777" w:rsidR="00094B8C" w:rsidRPr="005E4A8E" w:rsidRDefault="00BC6FD9" w:rsidP="00094B8C">
      <w:pPr>
        <w:pStyle w:val="NoSpacing1"/>
        <w:rPr>
          <w:rFonts w:ascii="Arial" w:hAnsi="Arial" w:cs="Arial"/>
          <w:sz w:val="20"/>
          <w:szCs w:val="20"/>
        </w:rPr>
      </w:pPr>
      <w:r w:rsidRPr="005E4A8E">
        <w:rPr>
          <w:rFonts w:ascii="Arial" w:hAnsi="Arial" w:cs="Arial"/>
          <w:sz w:val="20"/>
          <w:szCs w:val="20"/>
        </w:rPr>
        <w:t xml:space="preserve">      </w:t>
      </w:r>
    </w:p>
    <w:p w14:paraId="5282AB54" w14:textId="77777777" w:rsidR="00BC6FD9" w:rsidRPr="005E4A8E" w:rsidRDefault="00BC6FD9" w:rsidP="00A95C71">
      <w:pPr>
        <w:pStyle w:val="NoSpacing1"/>
        <w:numPr>
          <w:ilvl w:val="0"/>
          <w:numId w:val="12"/>
        </w:numPr>
        <w:rPr>
          <w:rFonts w:ascii="Arial" w:hAnsi="Arial" w:cs="Arial"/>
          <w:sz w:val="20"/>
          <w:szCs w:val="20"/>
        </w:rPr>
      </w:pPr>
      <w:r w:rsidRPr="005E4A8E">
        <w:rPr>
          <w:rFonts w:ascii="Arial" w:hAnsi="Arial" w:cs="Arial"/>
          <w:sz w:val="20"/>
          <w:szCs w:val="20"/>
        </w:rPr>
        <w:t>Gained better knowledge and understanding of recommendations issued by relevant International fora, including inter alia, the Codex Alimentarius Commission, World Trade Organization (WTO), International Organization of Wine and the Vine (OIV), and the World Wine Trade Group (WWTG) and will be able to apply these when implementing new laws or regulations; and</w:t>
      </w:r>
    </w:p>
    <w:p w14:paraId="79F3A5E8" w14:textId="77777777" w:rsidR="00BC6FD9" w:rsidRPr="005E4A8E" w:rsidRDefault="00BC6FD9" w:rsidP="00094B8C">
      <w:pPr>
        <w:pStyle w:val="NoSpacing1"/>
        <w:rPr>
          <w:rFonts w:ascii="Arial" w:hAnsi="Arial" w:cs="Arial"/>
          <w:sz w:val="20"/>
          <w:szCs w:val="20"/>
        </w:rPr>
      </w:pPr>
    </w:p>
    <w:p w14:paraId="1330A0CE" w14:textId="77777777" w:rsidR="00BC6FD9" w:rsidRPr="005E4A8E" w:rsidRDefault="00BC6FD9" w:rsidP="00A95C71">
      <w:pPr>
        <w:pStyle w:val="NoSpacing1"/>
        <w:numPr>
          <w:ilvl w:val="0"/>
          <w:numId w:val="12"/>
        </w:numPr>
        <w:rPr>
          <w:rFonts w:ascii="Arial" w:hAnsi="Arial" w:cs="Arial"/>
          <w:sz w:val="20"/>
          <w:szCs w:val="20"/>
        </w:rPr>
      </w:pPr>
      <w:r w:rsidRPr="005E4A8E">
        <w:rPr>
          <w:rFonts w:ascii="Arial" w:hAnsi="Arial" w:cs="Arial"/>
          <w:sz w:val="20"/>
          <w:szCs w:val="20"/>
        </w:rPr>
        <w:t>Established stronger linkages with government departments of other APEC economies and relevant non-government entities (such as laboratories) to enable regular consultation and timely exchange of information. This will assist with the prompt resolution of questions and disputes concerning labeling, Maximum Residue Limits (MRLs), compositional or certification requirements, counterfeiting and smuggling of wine products, geographical indications and food safety and health concerns.</w:t>
      </w:r>
    </w:p>
    <w:p w14:paraId="4B95CB7D" w14:textId="77777777" w:rsidR="00BC6FD9" w:rsidRPr="005E4A8E" w:rsidRDefault="00BC6FD9" w:rsidP="00BC6FD9">
      <w:pPr>
        <w:pStyle w:val="NoSpacing1"/>
        <w:jc w:val="center"/>
        <w:rPr>
          <w:rFonts w:ascii="Arial" w:hAnsi="Arial" w:cs="Arial"/>
          <w:b/>
          <w:sz w:val="20"/>
          <w:szCs w:val="20"/>
          <w:u w:val="single"/>
        </w:rPr>
      </w:pPr>
    </w:p>
    <w:p w14:paraId="4CAC4D48" w14:textId="77777777" w:rsidR="00BC6FD9" w:rsidRPr="005E4A8E" w:rsidRDefault="00BC6FD9" w:rsidP="00BC6FD9">
      <w:pPr>
        <w:spacing w:after="0" w:line="240" w:lineRule="auto"/>
        <w:jc w:val="center"/>
        <w:rPr>
          <w:rFonts w:ascii="Arial" w:hAnsi="Arial" w:cs="Arial"/>
          <w:b/>
          <w:sz w:val="20"/>
          <w:szCs w:val="20"/>
          <w:u w:val="single"/>
        </w:rPr>
      </w:pPr>
      <w:r w:rsidRPr="005E4A8E">
        <w:rPr>
          <w:rFonts w:ascii="Arial" w:hAnsi="Arial" w:cs="Arial"/>
          <w:b/>
          <w:sz w:val="20"/>
          <w:szCs w:val="20"/>
          <w:u w:val="single"/>
        </w:rPr>
        <w:t xml:space="preserve">Seminar Outcomes and Next Steps </w:t>
      </w:r>
    </w:p>
    <w:p w14:paraId="091D98F4" w14:textId="77777777" w:rsidR="00BC6FD9" w:rsidRPr="005E4A8E" w:rsidRDefault="00BC6FD9" w:rsidP="00BC6FD9">
      <w:pPr>
        <w:pStyle w:val="NoSpacing1"/>
        <w:rPr>
          <w:rFonts w:ascii="Arial" w:hAnsi="Arial" w:cs="Arial"/>
          <w:sz w:val="20"/>
          <w:szCs w:val="20"/>
        </w:rPr>
      </w:pPr>
    </w:p>
    <w:p w14:paraId="4F817B4B" w14:textId="77777777" w:rsidR="00BC6FD9" w:rsidRPr="005E4A8E" w:rsidRDefault="00BC6FD9" w:rsidP="00BC6FD9">
      <w:pPr>
        <w:pStyle w:val="NoSpacing1"/>
        <w:rPr>
          <w:rFonts w:ascii="Arial" w:hAnsi="Arial" w:cs="Arial"/>
          <w:sz w:val="20"/>
          <w:szCs w:val="20"/>
        </w:rPr>
      </w:pPr>
      <w:r w:rsidRPr="005E4A8E">
        <w:rPr>
          <w:rFonts w:ascii="Arial" w:hAnsi="Arial" w:cs="Arial"/>
          <w:sz w:val="20"/>
          <w:szCs w:val="20"/>
        </w:rPr>
        <w:t>Participants wish to suggest the following principles and next steps.  Economies, in coordination with industry and other stakeholders, should seek to:</w:t>
      </w:r>
    </w:p>
    <w:p w14:paraId="3563BDFE" w14:textId="77777777" w:rsidR="00BC6FD9" w:rsidRPr="005E4A8E" w:rsidRDefault="00BC6FD9" w:rsidP="00BC6FD9">
      <w:pPr>
        <w:pStyle w:val="NoSpacing1"/>
        <w:rPr>
          <w:rFonts w:ascii="Arial" w:hAnsi="Arial" w:cs="Arial"/>
          <w:b/>
          <w:sz w:val="20"/>
          <w:szCs w:val="20"/>
        </w:rPr>
      </w:pPr>
    </w:p>
    <w:p w14:paraId="4E7C99A1" w14:textId="77777777" w:rsidR="00BC6FD9" w:rsidRPr="005E4A8E" w:rsidRDefault="00BC6FD9" w:rsidP="00BC6FD9">
      <w:pPr>
        <w:pStyle w:val="NoSpacing1"/>
        <w:rPr>
          <w:rFonts w:ascii="Arial" w:hAnsi="Arial" w:cs="Arial"/>
          <w:sz w:val="20"/>
          <w:szCs w:val="20"/>
        </w:rPr>
      </w:pPr>
      <w:r w:rsidRPr="005E4A8E">
        <w:rPr>
          <w:rFonts w:ascii="Arial" w:hAnsi="Arial" w:cs="Arial"/>
          <w:b/>
          <w:sz w:val="20"/>
          <w:szCs w:val="20"/>
        </w:rPr>
        <w:t xml:space="preserve">Build on established networks: </w:t>
      </w:r>
      <w:r w:rsidRPr="005E4A8E">
        <w:rPr>
          <w:rFonts w:ascii="Arial" w:hAnsi="Arial" w:cs="Arial"/>
          <w:sz w:val="20"/>
          <w:szCs w:val="20"/>
        </w:rPr>
        <w:t xml:space="preserve">Economies should build on established networks and processes, particularly to strengthen their abilities to share information in international bodies, including the Codex Alimentarius Commission and the World Wine Trade Group.  Economy regulators should also use the </w:t>
      </w:r>
      <w:r w:rsidRPr="005E4A8E">
        <w:rPr>
          <w:rFonts w:ascii="Arial" w:hAnsi="Arial" w:cs="Arial"/>
          <w:i/>
          <w:sz w:val="20"/>
          <w:szCs w:val="20"/>
        </w:rPr>
        <w:t>APEC Wine Regulatory Forum Contact List</w:t>
      </w:r>
      <w:r w:rsidRPr="005E4A8E">
        <w:rPr>
          <w:rFonts w:ascii="Arial" w:hAnsi="Arial" w:cs="Arial"/>
          <w:sz w:val="20"/>
          <w:szCs w:val="20"/>
        </w:rPr>
        <w:t xml:space="preserve"> </w:t>
      </w:r>
      <w:r w:rsidR="00094B8C" w:rsidRPr="005E4A8E">
        <w:rPr>
          <w:rFonts w:ascii="Arial" w:hAnsi="Arial" w:cs="Arial"/>
          <w:sz w:val="20"/>
          <w:szCs w:val="20"/>
        </w:rPr>
        <w:t xml:space="preserve">(2011/SOM3/SCSC/ XXX) </w:t>
      </w:r>
      <w:r w:rsidRPr="005E4A8E">
        <w:rPr>
          <w:rFonts w:ascii="Arial" w:hAnsi="Arial" w:cs="Arial"/>
          <w:sz w:val="20"/>
          <w:szCs w:val="20"/>
        </w:rPr>
        <w:t xml:space="preserve">to enable regular consultation and timely exchange of information among members.  </w:t>
      </w:r>
    </w:p>
    <w:p w14:paraId="1D1EA5F5" w14:textId="77777777" w:rsidR="00BC6FD9" w:rsidRPr="005E4A8E" w:rsidRDefault="00BC6FD9" w:rsidP="00BC6FD9">
      <w:pPr>
        <w:pStyle w:val="NoSpacing1"/>
        <w:rPr>
          <w:rFonts w:ascii="Arial" w:hAnsi="Arial" w:cs="Arial"/>
          <w:b/>
          <w:sz w:val="20"/>
          <w:szCs w:val="20"/>
        </w:rPr>
      </w:pPr>
    </w:p>
    <w:p w14:paraId="3BD17422" w14:textId="77777777" w:rsidR="00BC6FD9" w:rsidRPr="005E4A8E" w:rsidRDefault="00BC6FD9" w:rsidP="00BC6FD9">
      <w:pPr>
        <w:pStyle w:val="NoSpacing1"/>
        <w:rPr>
          <w:rFonts w:ascii="Arial" w:hAnsi="Arial" w:cs="Arial"/>
          <w:sz w:val="20"/>
          <w:szCs w:val="20"/>
        </w:rPr>
      </w:pPr>
      <w:r w:rsidRPr="005E4A8E">
        <w:rPr>
          <w:rFonts w:ascii="Arial" w:hAnsi="Arial" w:cs="Arial"/>
          <w:b/>
          <w:sz w:val="20"/>
          <w:szCs w:val="20"/>
        </w:rPr>
        <w:lastRenderedPageBreak/>
        <w:t>Reduce barriers to wine trade:</w:t>
      </w:r>
      <w:r w:rsidRPr="005E4A8E">
        <w:rPr>
          <w:rFonts w:ascii="Arial" w:hAnsi="Arial" w:cs="Arial"/>
          <w:sz w:val="20"/>
          <w:szCs w:val="20"/>
        </w:rPr>
        <w:t xml:space="preserve">  Economies should review and compare the policies outlined in the </w:t>
      </w:r>
      <w:r w:rsidRPr="005E4A8E">
        <w:rPr>
          <w:rFonts w:ascii="Arial" w:hAnsi="Arial" w:cs="Arial"/>
          <w:i/>
          <w:sz w:val="20"/>
          <w:szCs w:val="20"/>
        </w:rPr>
        <w:t>Compendium of Certification Requirements</w:t>
      </w:r>
      <w:r w:rsidRPr="005E4A8E">
        <w:rPr>
          <w:rFonts w:ascii="Arial" w:hAnsi="Arial" w:cs="Arial"/>
          <w:sz w:val="20"/>
          <w:szCs w:val="20"/>
        </w:rPr>
        <w:t xml:space="preserve"> (2011/SOM3/SCSC/ XXX), with an eye towards eliminating unnecessary barriers to trade.  Economies should also consider participating in the work of the Food Safety Cooperation Forum and refer to the CODEX guidance on export certificates when deciding on what to incorporate into required documentation.  Economies are encouraged to participate in the November APEC Export Certificate Workshop in DC.</w:t>
      </w:r>
    </w:p>
    <w:p w14:paraId="6D6104CE" w14:textId="77777777" w:rsidR="00BC6FD9" w:rsidRPr="005E4A8E" w:rsidRDefault="00BC6FD9" w:rsidP="00BC6FD9">
      <w:pPr>
        <w:pStyle w:val="NoSpacing1"/>
        <w:rPr>
          <w:rFonts w:ascii="Arial" w:hAnsi="Arial" w:cs="Arial"/>
          <w:b/>
          <w:sz w:val="20"/>
          <w:szCs w:val="20"/>
        </w:rPr>
      </w:pPr>
    </w:p>
    <w:p w14:paraId="3E02457A" w14:textId="77777777" w:rsidR="00590169" w:rsidRPr="005E4A8E" w:rsidRDefault="00590169" w:rsidP="00BC6FD9">
      <w:pPr>
        <w:pStyle w:val="NoSpacing1"/>
        <w:rPr>
          <w:rFonts w:ascii="Arial" w:hAnsi="Arial" w:cs="Arial"/>
          <w:b/>
          <w:sz w:val="20"/>
          <w:szCs w:val="20"/>
        </w:rPr>
      </w:pPr>
    </w:p>
    <w:p w14:paraId="78302FDC" w14:textId="77777777" w:rsidR="00BC6FD9" w:rsidRPr="005E4A8E" w:rsidRDefault="00BC6FD9" w:rsidP="00BC6FD9">
      <w:pPr>
        <w:pStyle w:val="NoSpacing1"/>
        <w:rPr>
          <w:rFonts w:ascii="Arial" w:hAnsi="Arial" w:cs="Arial"/>
          <w:sz w:val="20"/>
          <w:szCs w:val="20"/>
        </w:rPr>
      </w:pPr>
      <w:r w:rsidRPr="005E4A8E">
        <w:rPr>
          <w:rFonts w:ascii="Arial" w:hAnsi="Arial" w:cs="Arial"/>
          <w:b/>
          <w:sz w:val="20"/>
          <w:szCs w:val="20"/>
        </w:rPr>
        <w:t>Develop a forward-looking work plan:</w:t>
      </w:r>
      <w:r w:rsidRPr="005E4A8E">
        <w:rPr>
          <w:rFonts w:ascii="Arial" w:hAnsi="Arial" w:cs="Arial"/>
          <w:sz w:val="20"/>
          <w:szCs w:val="20"/>
        </w:rPr>
        <w:t xml:space="preserve">  </w:t>
      </w:r>
    </w:p>
    <w:p w14:paraId="6BA90341" w14:textId="77777777" w:rsidR="00BC6FD9" w:rsidRPr="005E4A8E" w:rsidRDefault="00BC6FD9" w:rsidP="00BC6FD9">
      <w:pPr>
        <w:pStyle w:val="NoSpacing1"/>
        <w:rPr>
          <w:rFonts w:ascii="Arial" w:hAnsi="Arial" w:cs="Arial"/>
          <w:sz w:val="20"/>
          <w:szCs w:val="20"/>
        </w:rPr>
      </w:pPr>
      <w:r w:rsidRPr="005E4A8E">
        <w:rPr>
          <w:rFonts w:ascii="Arial" w:hAnsi="Arial" w:cs="Arial"/>
          <w:sz w:val="20"/>
          <w:szCs w:val="20"/>
        </w:rPr>
        <w:t>Economies should use a broad range of economy, industry, and academic stakeholders to build upon the ideas discussed in this Seminar.  Interested parties should meet to discuss mutual priorities, including:</w:t>
      </w:r>
    </w:p>
    <w:p w14:paraId="4DEECA07" w14:textId="77777777" w:rsidR="00BC6FD9" w:rsidRPr="005E4A8E" w:rsidRDefault="00BC6FD9" w:rsidP="00BC6FD9">
      <w:pPr>
        <w:pStyle w:val="NoSpacing1"/>
        <w:rPr>
          <w:rFonts w:ascii="Arial" w:hAnsi="Arial" w:cs="Arial"/>
          <w:sz w:val="20"/>
          <w:szCs w:val="20"/>
        </w:rPr>
      </w:pPr>
    </w:p>
    <w:p w14:paraId="5CC93A4B" w14:textId="77777777" w:rsidR="00BC6FD9" w:rsidRPr="005E4A8E" w:rsidRDefault="00BC6FD9" w:rsidP="00A95C71">
      <w:pPr>
        <w:pStyle w:val="NoSpacing1"/>
        <w:numPr>
          <w:ilvl w:val="0"/>
          <w:numId w:val="5"/>
        </w:numPr>
        <w:rPr>
          <w:rFonts w:ascii="Arial" w:hAnsi="Arial" w:cs="Arial"/>
          <w:sz w:val="20"/>
          <w:szCs w:val="20"/>
        </w:rPr>
      </w:pPr>
      <w:r w:rsidRPr="005E4A8E">
        <w:rPr>
          <w:rFonts w:ascii="Arial" w:hAnsi="Arial" w:cs="Arial"/>
          <w:sz w:val="20"/>
          <w:szCs w:val="20"/>
        </w:rPr>
        <w:t xml:space="preserve">Increasing information exchange on regulatory developments and labeling issues in order to increase confidence among economies </w:t>
      </w:r>
    </w:p>
    <w:p w14:paraId="2ECE4197" w14:textId="77777777" w:rsidR="00BC6FD9" w:rsidRPr="005E4A8E" w:rsidRDefault="00BC6FD9" w:rsidP="00BC6FD9">
      <w:pPr>
        <w:pStyle w:val="NoSpacing1"/>
        <w:ind w:left="720"/>
        <w:rPr>
          <w:rFonts w:ascii="Arial" w:hAnsi="Arial" w:cs="Arial"/>
          <w:sz w:val="20"/>
          <w:szCs w:val="20"/>
        </w:rPr>
      </w:pPr>
    </w:p>
    <w:p w14:paraId="39B6F860" w14:textId="77777777" w:rsidR="00BC6FD9" w:rsidRPr="005E4A8E" w:rsidRDefault="00BC6FD9" w:rsidP="00A95C71">
      <w:pPr>
        <w:pStyle w:val="NoSpacing1"/>
        <w:numPr>
          <w:ilvl w:val="0"/>
          <w:numId w:val="5"/>
        </w:numPr>
        <w:rPr>
          <w:rFonts w:ascii="Arial" w:hAnsi="Arial" w:cs="Arial"/>
          <w:sz w:val="20"/>
          <w:szCs w:val="20"/>
        </w:rPr>
      </w:pPr>
      <w:r w:rsidRPr="005E4A8E">
        <w:rPr>
          <w:rFonts w:ascii="Arial" w:hAnsi="Arial" w:cs="Arial"/>
          <w:sz w:val="20"/>
          <w:szCs w:val="20"/>
        </w:rPr>
        <w:t>Eliminating or reducing the need for export certificates, possibly by achieving mutual acceptance of oenological practices under appropriate conditions</w:t>
      </w:r>
    </w:p>
    <w:p w14:paraId="3B634F65" w14:textId="77777777" w:rsidR="00BC6FD9" w:rsidRPr="005E4A8E" w:rsidRDefault="00BC6FD9" w:rsidP="00BC6FD9">
      <w:pPr>
        <w:pStyle w:val="NoSpacing1"/>
        <w:ind w:left="720"/>
        <w:rPr>
          <w:rFonts w:ascii="Arial" w:hAnsi="Arial" w:cs="Arial"/>
          <w:sz w:val="20"/>
          <w:szCs w:val="20"/>
        </w:rPr>
      </w:pPr>
    </w:p>
    <w:p w14:paraId="6BE9AB55" w14:textId="77777777" w:rsidR="00BC6FD9" w:rsidRPr="005E4A8E" w:rsidRDefault="00BC6FD9" w:rsidP="00A95C71">
      <w:pPr>
        <w:pStyle w:val="NoSpacing1"/>
        <w:numPr>
          <w:ilvl w:val="0"/>
          <w:numId w:val="5"/>
        </w:numPr>
        <w:rPr>
          <w:rFonts w:ascii="Arial" w:hAnsi="Arial" w:cs="Arial"/>
          <w:sz w:val="20"/>
          <w:szCs w:val="20"/>
        </w:rPr>
      </w:pPr>
      <w:r w:rsidRPr="005E4A8E">
        <w:rPr>
          <w:rFonts w:ascii="Arial" w:hAnsi="Arial" w:cs="Arial"/>
          <w:sz w:val="20"/>
          <w:szCs w:val="20"/>
        </w:rPr>
        <w:t>Accepting an electronic means for the submission of export certificates</w:t>
      </w:r>
      <w:r w:rsidR="00F31601" w:rsidRPr="005E4A8E">
        <w:rPr>
          <w:rFonts w:ascii="Arial" w:hAnsi="Arial" w:cs="Arial"/>
          <w:sz w:val="20"/>
          <w:szCs w:val="20"/>
        </w:rPr>
        <w:t xml:space="preserve"> or by consolidating the information on various certifications into one </w:t>
      </w:r>
    </w:p>
    <w:p w14:paraId="7E5ECD51" w14:textId="77777777" w:rsidR="00BC6FD9" w:rsidRPr="005E4A8E" w:rsidRDefault="00BC6FD9" w:rsidP="00BC6FD9">
      <w:pPr>
        <w:pStyle w:val="NoSpacing1"/>
        <w:ind w:left="720"/>
        <w:rPr>
          <w:rFonts w:ascii="Arial" w:hAnsi="Arial" w:cs="Arial"/>
          <w:sz w:val="20"/>
          <w:szCs w:val="20"/>
        </w:rPr>
      </w:pPr>
    </w:p>
    <w:p w14:paraId="15F79CEE" w14:textId="77777777" w:rsidR="00BC6FD9" w:rsidRPr="005E4A8E" w:rsidRDefault="002F2C0B" w:rsidP="00A95C71">
      <w:pPr>
        <w:pStyle w:val="NoSpacing1"/>
        <w:numPr>
          <w:ilvl w:val="0"/>
          <w:numId w:val="5"/>
        </w:numPr>
        <w:rPr>
          <w:rFonts w:ascii="Arial" w:hAnsi="Arial" w:cs="Arial"/>
          <w:sz w:val="20"/>
          <w:szCs w:val="20"/>
        </w:rPr>
      </w:pPr>
      <w:r w:rsidRPr="005E4A8E">
        <w:rPr>
          <w:rFonts w:ascii="Arial" w:hAnsi="Arial" w:cs="Arial"/>
          <w:sz w:val="20"/>
          <w:szCs w:val="20"/>
        </w:rPr>
        <w:t xml:space="preserve">Identifying opportunities to reconvene </w:t>
      </w:r>
      <w:r w:rsidR="00BC6FD9" w:rsidRPr="005E4A8E">
        <w:rPr>
          <w:rFonts w:ascii="Arial" w:hAnsi="Arial" w:cs="Arial"/>
          <w:sz w:val="20"/>
          <w:szCs w:val="20"/>
        </w:rPr>
        <w:t>at a future date to continue the dialogue on the issues raised at the Seminar including to identify capacity building needs and activities.</w:t>
      </w:r>
    </w:p>
    <w:p w14:paraId="574C1DB7" w14:textId="77777777" w:rsidR="00BC6FD9" w:rsidRPr="005E4A8E" w:rsidRDefault="00BC6FD9" w:rsidP="00BC6FD9">
      <w:pPr>
        <w:spacing w:after="0" w:line="240" w:lineRule="auto"/>
        <w:rPr>
          <w:rFonts w:ascii="Arial" w:hAnsi="Arial" w:cs="Arial"/>
          <w:b/>
          <w:sz w:val="20"/>
          <w:szCs w:val="20"/>
          <w:u w:val="single"/>
        </w:rPr>
      </w:pPr>
    </w:p>
    <w:p w14:paraId="1E1CEBB8" w14:textId="77777777" w:rsidR="00055AC3" w:rsidRPr="005E4A8E" w:rsidRDefault="00055AC3" w:rsidP="00055AC3">
      <w:pPr>
        <w:spacing w:after="0" w:line="240" w:lineRule="auto"/>
        <w:jc w:val="center"/>
        <w:rPr>
          <w:rFonts w:ascii="Arial" w:hAnsi="Arial" w:cs="Arial"/>
          <w:b/>
          <w:sz w:val="20"/>
          <w:szCs w:val="20"/>
          <w:u w:val="single"/>
        </w:rPr>
      </w:pPr>
      <w:r w:rsidRPr="005E4A8E">
        <w:rPr>
          <w:rFonts w:ascii="Arial" w:hAnsi="Arial" w:cs="Arial"/>
          <w:b/>
          <w:sz w:val="20"/>
          <w:szCs w:val="20"/>
          <w:u w:val="single"/>
        </w:rPr>
        <w:t>Summary of the Wine Regulatory Forum Seminar</w:t>
      </w:r>
      <w:r w:rsidRPr="005E4A8E">
        <w:rPr>
          <w:rStyle w:val="FootnoteReference"/>
          <w:rFonts w:ascii="Arial" w:hAnsi="Arial" w:cs="Arial"/>
          <w:b/>
          <w:sz w:val="20"/>
          <w:szCs w:val="20"/>
        </w:rPr>
        <w:footnoteReference w:id="5"/>
      </w:r>
    </w:p>
    <w:p w14:paraId="568BBD72" w14:textId="77777777" w:rsidR="00055AC3" w:rsidRPr="005E4A8E" w:rsidRDefault="00055AC3" w:rsidP="00055AC3">
      <w:pPr>
        <w:pStyle w:val="NoSpacing1"/>
        <w:rPr>
          <w:rFonts w:ascii="Arial" w:hAnsi="Arial" w:cs="Arial"/>
          <w:i/>
          <w:sz w:val="20"/>
          <w:szCs w:val="20"/>
        </w:rPr>
      </w:pPr>
    </w:p>
    <w:p w14:paraId="49EFA2D1" w14:textId="77777777" w:rsidR="00055AC3" w:rsidRPr="005E4A8E" w:rsidRDefault="00055AC3" w:rsidP="00055AC3">
      <w:pPr>
        <w:pStyle w:val="NoSpacing1"/>
        <w:rPr>
          <w:rFonts w:ascii="Arial" w:hAnsi="Arial" w:cs="Arial"/>
          <w:sz w:val="20"/>
          <w:szCs w:val="20"/>
        </w:rPr>
      </w:pPr>
      <w:r w:rsidRPr="005E4A8E">
        <w:rPr>
          <w:rFonts w:ascii="Arial" w:hAnsi="Arial" w:cs="Arial"/>
          <w:sz w:val="20"/>
          <w:szCs w:val="20"/>
        </w:rPr>
        <w:t xml:space="preserve">Ms. Julia Doherty, Chair of the APEC Sub-Committee on Standards and Conformance (USA) opened the event by welcoming participants to the third SOM of the U.S. host year.  Mr. Robert P. Koch, President and Chief Executive Officer of the Wine Institute, gave the private sector welcome and stated that the Wine Institute is fully committed to the APEC goals to reduce trade barriers and expand trade.  Mr. James Finkle, President, of FIVS; and representing Constellation Brands, Inc, introduced the Honorable Michael Moore, New Zealand Ambassador to the United States. </w:t>
      </w:r>
    </w:p>
    <w:p w14:paraId="0946150E" w14:textId="77777777" w:rsidR="00055AC3" w:rsidRPr="005E4A8E" w:rsidRDefault="00055AC3" w:rsidP="00055AC3">
      <w:pPr>
        <w:spacing w:before="100" w:beforeAutospacing="1" w:after="100" w:afterAutospacing="1" w:line="240" w:lineRule="auto"/>
        <w:rPr>
          <w:rFonts w:ascii="Arial" w:hAnsi="Arial" w:cs="Arial"/>
          <w:sz w:val="20"/>
          <w:szCs w:val="20"/>
        </w:rPr>
      </w:pPr>
      <w:r w:rsidRPr="005E4A8E">
        <w:rPr>
          <w:rFonts w:ascii="Arial" w:hAnsi="Arial" w:cs="Arial"/>
          <w:b/>
          <w:sz w:val="20"/>
          <w:szCs w:val="20"/>
        </w:rPr>
        <w:t>Keynote Address:</w:t>
      </w:r>
      <w:r w:rsidRPr="005E4A8E">
        <w:rPr>
          <w:rFonts w:ascii="Arial" w:hAnsi="Arial" w:cs="Arial"/>
          <w:b/>
          <w:i/>
          <w:sz w:val="20"/>
          <w:szCs w:val="20"/>
        </w:rPr>
        <w:t xml:space="preserve"> </w:t>
      </w:r>
      <w:r w:rsidRPr="005E4A8E">
        <w:rPr>
          <w:rFonts w:ascii="Arial" w:hAnsi="Arial" w:cs="Arial"/>
          <w:b/>
          <w:sz w:val="20"/>
          <w:szCs w:val="20"/>
        </w:rPr>
        <w:t>Honorable Michael Moore, New Zealand Ambassador to the United States:</w:t>
      </w:r>
      <w:r w:rsidRPr="005E4A8E">
        <w:rPr>
          <w:rFonts w:ascii="Arial" w:hAnsi="Arial" w:cs="Arial"/>
          <w:sz w:val="20"/>
          <w:szCs w:val="20"/>
        </w:rPr>
        <w:t xml:space="preserve">  The Honorable Michael</w:t>
      </w:r>
      <w:r w:rsidRPr="005E4A8E">
        <w:rPr>
          <w:rFonts w:ascii="Arial" w:hAnsi="Arial" w:cs="Arial"/>
          <w:color w:val="000000"/>
          <w:sz w:val="20"/>
          <w:szCs w:val="20"/>
        </w:rPr>
        <w:t xml:space="preserve"> Moore is New Zealand’s Ambassador to the United States, a past Director-General of the World Trade Organization (WTO), and </w:t>
      </w:r>
      <w:r w:rsidRPr="005E4A8E">
        <w:rPr>
          <w:rFonts w:ascii="Arial" w:hAnsi="Arial" w:cs="Arial"/>
          <w:sz w:val="20"/>
          <w:szCs w:val="20"/>
        </w:rPr>
        <w:t>former Labour Prime Minister of New Zealand.   He made several key points in his remarks about the work being undertaken by the WRF.  He noted that r</w:t>
      </w:r>
      <w:r w:rsidRPr="005E4A8E">
        <w:rPr>
          <w:rFonts w:ascii="Arial" w:eastAsia="Times New Roman" w:hAnsi="Arial" w:cs="Arial"/>
          <w:color w:val="000000"/>
          <w:sz w:val="20"/>
          <w:szCs w:val="20"/>
        </w:rPr>
        <w:t>egional trade in wine is quickly growing in significance, but it is burdened by major costs due to different and sometimes conflicting regulatory requirements.  Estimates suggest that the cost to APEC economies and businesses is approximately $1 billion USD per year.</w:t>
      </w:r>
      <w:r w:rsidRPr="005E4A8E">
        <w:rPr>
          <w:rFonts w:ascii="Arial" w:eastAsia="Times New Roman" w:hAnsi="Arial" w:cs="Arial"/>
          <w:sz w:val="20"/>
          <w:szCs w:val="20"/>
        </w:rPr>
        <w:t xml:space="preserve">  </w:t>
      </w:r>
      <w:r w:rsidRPr="005E4A8E">
        <w:rPr>
          <w:rFonts w:ascii="Arial" w:eastAsia="Times New Roman" w:hAnsi="Arial" w:cs="Arial"/>
          <w:color w:val="000000"/>
          <w:sz w:val="20"/>
          <w:szCs w:val="20"/>
        </w:rPr>
        <w:t>New Zealand’s experience suggests that an open market and a streamlined regulatory environment is a necessary pre-condition for the development of domestic wine production and trade.  APEC has an important role to play in promoting processes that support regulatory coherence to address real business concerns and shape practical solutions.</w:t>
      </w:r>
      <w:r w:rsidRPr="005E4A8E">
        <w:rPr>
          <w:rFonts w:ascii="Arial" w:eastAsia="Times New Roman" w:hAnsi="Arial" w:cs="Arial"/>
          <w:sz w:val="20"/>
          <w:szCs w:val="20"/>
        </w:rPr>
        <w:t xml:space="preserve"> </w:t>
      </w:r>
    </w:p>
    <w:p w14:paraId="60A2677E" w14:textId="77777777" w:rsidR="00055AC3" w:rsidRPr="005E4A8E" w:rsidRDefault="00055AC3" w:rsidP="00055AC3">
      <w:pPr>
        <w:spacing w:before="100" w:beforeAutospacing="1" w:after="100" w:afterAutospacing="1" w:line="240" w:lineRule="auto"/>
        <w:rPr>
          <w:rFonts w:ascii="Arial" w:hAnsi="Arial" w:cs="Arial"/>
          <w:i/>
          <w:sz w:val="20"/>
          <w:szCs w:val="20"/>
        </w:rPr>
      </w:pPr>
      <w:r w:rsidRPr="005E4A8E">
        <w:rPr>
          <w:rFonts w:ascii="Arial" w:hAnsi="Arial" w:cs="Arial"/>
          <w:b/>
          <w:sz w:val="20"/>
          <w:szCs w:val="20"/>
        </w:rPr>
        <w:t>APEC Wine Trade and Regulatory Coherence Panel</w:t>
      </w:r>
      <w:r w:rsidRPr="005E4A8E">
        <w:rPr>
          <w:rFonts w:ascii="Arial" w:hAnsi="Arial" w:cs="Arial"/>
          <w:sz w:val="20"/>
          <w:szCs w:val="20"/>
        </w:rPr>
        <w:t xml:space="preserve">.  Moderator: Ms. Sirma </w:t>
      </w:r>
      <w:r w:rsidRPr="005E4A8E">
        <w:rPr>
          <w:rFonts w:ascii="Arial" w:hAnsi="Arial" w:cs="Arial"/>
          <w:bCs/>
          <w:sz w:val="20"/>
          <w:szCs w:val="20"/>
        </w:rPr>
        <w:t xml:space="preserve">Karapeeva, </w:t>
      </w:r>
      <w:r w:rsidRPr="005E4A8E">
        <w:rPr>
          <w:rFonts w:ascii="Arial" w:hAnsi="Arial" w:cs="Arial"/>
          <w:sz w:val="20"/>
          <w:szCs w:val="20"/>
        </w:rPr>
        <w:t xml:space="preserve">New Zealand Ministry of Economic Development </w:t>
      </w:r>
      <w:r w:rsidRPr="005E4A8E">
        <w:rPr>
          <w:rFonts w:ascii="Arial" w:hAnsi="Arial" w:cs="Arial"/>
          <w:i/>
          <w:sz w:val="20"/>
          <w:szCs w:val="20"/>
        </w:rPr>
        <w:t xml:space="preserve"> </w:t>
      </w:r>
    </w:p>
    <w:p w14:paraId="51692976" w14:textId="77777777" w:rsidR="00055AC3" w:rsidRPr="005E4A8E" w:rsidRDefault="00055AC3" w:rsidP="00A95C71">
      <w:pPr>
        <w:numPr>
          <w:ilvl w:val="0"/>
          <w:numId w:val="6"/>
        </w:numPr>
        <w:spacing w:after="0" w:line="240" w:lineRule="auto"/>
        <w:rPr>
          <w:rFonts w:ascii="Arial" w:hAnsi="Arial" w:cs="Arial"/>
          <w:sz w:val="20"/>
          <w:szCs w:val="20"/>
        </w:rPr>
      </w:pPr>
      <w:r w:rsidRPr="005E4A8E">
        <w:rPr>
          <w:rFonts w:ascii="Arial" w:hAnsi="Arial" w:cs="Arial"/>
          <w:i/>
          <w:sz w:val="20"/>
          <w:szCs w:val="20"/>
        </w:rPr>
        <w:t xml:space="preserve">Mr. Tony </w:t>
      </w:r>
      <w:r w:rsidR="00094B8C" w:rsidRPr="005E4A8E">
        <w:rPr>
          <w:rFonts w:ascii="Arial" w:hAnsi="Arial" w:cs="Arial"/>
          <w:i/>
          <w:sz w:val="20"/>
          <w:szCs w:val="20"/>
        </w:rPr>
        <w:t>Battaglene</w:t>
      </w:r>
      <w:r w:rsidRPr="005E4A8E">
        <w:rPr>
          <w:rFonts w:ascii="Arial" w:hAnsi="Arial" w:cs="Arial"/>
          <w:i/>
          <w:sz w:val="20"/>
          <w:szCs w:val="20"/>
        </w:rPr>
        <w:t xml:space="preserve">, General Manager, Strategy &amp; International Affairs, Winemakers Federation of Australia </w:t>
      </w:r>
    </w:p>
    <w:p w14:paraId="4A6861CB" w14:textId="77777777" w:rsidR="00055AC3" w:rsidRPr="005E4A8E" w:rsidRDefault="00055AC3" w:rsidP="00055AC3">
      <w:pPr>
        <w:pStyle w:val="NoSpacing1"/>
        <w:rPr>
          <w:rFonts w:ascii="Arial" w:hAnsi="Arial" w:cs="Arial"/>
          <w:i/>
          <w:sz w:val="20"/>
          <w:szCs w:val="20"/>
        </w:rPr>
      </w:pPr>
    </w:p>
    <w:p w14:paraId="217C7EFE" w14:textId="77777777" w:rsidR="00055AC3" w:rsidRPr="005E4A8E" w:rsidRDefault="00055AC3" w:rsidP="00055AC3">
      <w:pPr>
        <w:pStyle w:val="NoSpacing1"/>
        <w:rPr>
          <w:rFonts w:ascii="Arial" w:hAnsi="Arial" w:cs="Arial"/>
          <w:sz w:val="20"/>
          <w:szCs w:val="20"/>
        </w:rPr>
      </w:pPr>
      <w:r w:rsidRPr="005E4A8E">
        <w:rPr>
          <w:rFonts w:ascii="Arial" w:hAnsi="Arial" w:cs="Arial"/>
          <w:spacing w:val="-2"/>
          <w:sz w:val="20"/>
          <w:szCs w:val="20"/>
        </w:rPr>
        <w:t xml:space="preserve">Wine production and trade are influenced by a large number of external organizations and agreements that impact on domestic policy and regulation.  </w:t>
      </w:r>
      <w:r w:rsidRPr="005E4A8E">
        <w:rPr>
          <w:rFonts w:ascii="Arial" w:hAnsi="Arial" w:cs="Arial"/>
          <w:sz w:val="20"/>
          <w:szCs w:val="20"/>
        </w:rPr>
        <w:t xml:space="preserve">National standards, international trade agreements, bilateral wine trade agreements, and government regulation can impose huge burdens on wine </w:t>
      </w:r>
      <w:r w:rsidRPr="005E4A8E">
        <w:rPr>
          <w:rFonts w:ascii="Arial" w:hAnsi="Arial" w:cs="Arial"/>
          <w:sz w:val="20"/>
          <w:szCs w:val="20"/>
        </w:rPr>
        <w:lastRenderedPageBreak/>
        <w:t xml:space="preserve">producers.  Economies should consider five principles of better regulation when crafting new wine regulations.  New measures should be proportionate, accountable, consistent, transparent, and targeted.  Regulations should not be made in isolation; good regulatory practice requires collaboration between regulators and industry.  </w:t>
      </w:r>
    </w:p>
    <w:p w14:paraId="40208C5F" w14:textId="77777777" w:rsidR="00055AC3" w:rsidRPr="005E4A8E" w:rsidRDefault="00055AC3" w:rsidP="00055AC3">
      <w:pPr>
        <w:pStyle w:val="NoSpacing1"/>
        <w:rPr>
          <w:rFonts w:ascii="Arial" w:hAnsi="Arial" w:cs="Arial"/>
          <w:i/>
          <w:sz w:val="20"/>
          <w:szCs w:val="20"/>
        </w:rPr>
      </w:pPr>
    </w:p>
    <w:p w14:paraId="3BB5F7E5" w14:textId="77777777" w:rsidR="00055AC3" w:rsidRPr="005E4A8E" w:rsidRDefault="00055AC3" w:rsidP="00A95C71">
      <w:pPr>
        <w:numPr>
          <w:ilvl w:val="0"/>
          <w:numId w:val="6"/>
        </w:numPr>
        <w:spacing w:after="0" w:line="240" w:lineRule="auto"/>
        <w:rPr>
          <w:rFonts w:ascii="Arial" w:hAnsi="Arial" w:cs="Arial"/>
          <w:sz w:val="20"/>
          <w:szCs w:val="20"/>
        </w:rPr>
      </w:pPr>
      <w:r w:rsidRPr="005E4A8E">
        <w:rPr>
          <w:rFonts w:ascii="Arial" w:hAnsi="Arial" w:cs="Arial"/>
          <w:i/>
          <w:sz w:val="20"/>
          <w:szCs w:val="20"/>
        </w:rPr>
        <w:t>Dr. John B</w:t>
      </w:r>
      <w:r w:rsidR="001D1759" w:rsidRPr="005E4A8E">
        <w:rPr>
          <w:rFonts w:ascii="Arial" w:hAnsi="Arial" w:cs="Arial"/>
          <w:i/>
          <w:sz w:val="20"/>
          <w:szCs w:val="20"/>
        </w:rPr>
        <w:t>arker</w:t>
      </w:r>
      <w:r w:rsidRPr="005E4A8E">
        <w:rPr>
          <w:rFonts w:ascii="Arial" w:hAnsi="Arial" w:cs="Arial"/>
          <w:i/>
          <w:sz w:val="20"/>
          <w:szCs w:val="20"/>
        </w:rPr>
        <w:t xml:space="preserve">, </w:t>
      </w:r>
      <w:r w:rsidRPr="005E4A8E">
        <w:rPr>
          <w:rFonts w:ascii="Arial" w:hAnsi="Arial" w:cs="Arial"/>
          <w:bCs/>
          <w:i/>
          <w:sz w:val="20"/>
          <w:szCs w:val="20"/>
        </w:rPr>
        <w:t>General Counsel</w:t>
      </w:r>
      <w:r w:rsidRPr="005E4A8E">
        <w:rPr>
          <w:rFonts w:ascii="Arial" w:hAnsi="Arial" w:cs="Arial"/>
          <w:i/>
          <w:sz w:val="20"/>
          <w:szCs w:val="20"/>
        </w:rPr>
        <w:t xml:space="preserve">, New Zealand Winegrowers </w:t>
      </w:r>
    </w:p>
    <w:p w14:paraId="4EF3EECC" w14:textId="77777777" w:rsidR="00055AC3" w:rsidRPr="005E4A8E" w:rsidRDefault="00055AC3" w:rsidP="00055AC3">
      <w:pPr>
        <w:pStyle w:val="NoSpacing1"/>
        <w:rPr>
          <w:rFonts w:ascii="Arial" w:hAnsi="Arial" w:cs="Arial"/>
          <w:i/>
          <w:sz w:val="20"/>
          <w:szCs w:val="20"/>
        </w:rPr>
      </w:pPr>
    </w:p>
    <w:p w14:paraId="7F1CE372" w14:textId="77777777" w:rsidR="00055AC3" w:rsidRPr="005E4A8E" w:rsidRDefault="00055AC3" w:rsidP="00055AC3">
      <w:pPr>
        <w:pStyle w:val="NoSpacing1"/>
        <w:rPr>
          <w:rFonts w:ascii="Arial" w:hAnsi="Arial" w:cs="Arial"/>
          <w:sz w:val="20"/>
          <w:szCs w:val="20"/>
          <w:lang w:val="en-NZ"/>
        </w:rPr>
      </w:pPr>
      <w:r w:rsidRPr="005E4A8E">
        <w:rPr>
          <w:rFonts w:ascii="Arial" w:hAnsi="Arial" w:cs="Arial"/>
          <w:sz w:val="20"/>
          <w:szCs w:val="20"/>
          <w:lang w:val="en-NZ"/>
        </w:rPr>
        <w:t xml:space="preserve">The World Wine Trade Group (WWTG) provides an example of regulatory coherence in practice. The WWTG has established a highly effective process to address non-tariff trade barriers and model regulatory best practice between key wine producing and consuming countries.  Relationship-building around shared objectives, a flexible structure, stakeholder involvement, and a facilitative approach have been the key elements in the success of the WWTG. This is an approach that may have wider applicability for APEC.  APEC economies are encouraged to participate in the WWTG as observers.  </w:t>
      </w:r>
    </w:p>
    <w:p w14:paraId="124E765E" w14:textId="77777777" w:rsidR="00055AC3" w:rsidRPr="005E4A8E" w:rsidRDefault="00055AC3" w:rsidP="00055AC3">
      <w:pPr>
        <w:pStyle w:val="NoSpacing1"/>
        <w:rPr>
          <w:rFonts w:ascii="Arial" w:hAnsi="Arial" w:cs="Arial"/>
          <w:sz w:val="20"/>
          <w:szCs w:val="20"/>
        </w:rPr>
      </w:pPr>
    </w:p>
    <w:p w14:paraId="671FA1A1" w14:textId="77777777" w:rsidR="00055AC3" w:rsidRPr="005E4A8E" w:rsidRDefault="00055AC3" w:rsidP="00A95C71">
      <w:pPr>
        <w:pStyle w:val="NoSpacing2"/>
        <w:numPr>
          <w:ilvl w:val="0"/>
          <w:numId w:val="6"/>
        </w:numPr>
        <w:spacing w:after="0" w:line="240" w:lineRule="auto"/>
        <w:rPr>
          <w:rFonts w:ascii="Arial" w:hAnsi="Arial" w:cs="Arial"/>
          <w:sz w:val="20"/>
          <w:szCs w:val="20"/>
        </w:rPr>
      </w:pPr>
      <w:r w:rsidRPr="005E4A8E">
        <w:rPr>
          <w:rFonts w:ascii="Arial" w:hAnsi="Arial" w:cs="Arial"/>
          <w:i/>
          <w:sz w:val="20"/>
          <w:szCs w:val="20"/>
        </w:rPr>
        <w:t>Ms. Gail D</w:t>
      </w:r>
      <w:r w:rsidR="001D1759" w:rsidRPr="005E4A8E">
        <w:rPr>
          <w:rFonts w:ascii="Arial" w:hAnsi="Arial" w:cs="Arial"/>
          <w:i/>
          <w:sz w:val="20"/>
          <w:szCs w:val="20"/>
        </w:rPr>
        <w:t>avis</w:t>
      </w:r>
      <w:r w:rsidRPr="005E4A8E">
        <w:rPr>
          <w:rFonts w:ascii="Arial" w:hAnsi="Arial" w:cs="Arial"/>
          <w:i/>
          <w:sz w:val="20"/>
          <w:szCs w:val="20"/>
        </w:rPr>
        <w:t xml:space="preserve">, Director, U.S. Alcohol and Tobacco Tax and Trade Bureau (TTB) International Trade Division </w:t>
      </w:r>
    </w:p>
    <w:p w14:paraId="43888125" w14:textId="77777777" w:rsidR="00055AC3" w:rsidRPr="005E4A8E" w:rsidRDefault="00055AC3" w:rsidP="00055AC3">
      <w:pPr>
        <w:pStyle w:val="NoSpacing1"/>
        <w:rPr>
          <w:rFonts w:ascii="Arial" w:hAnsi="Arial" w:cs="Arial"/>
          <w:sz w:val="20"/>
          <w:szCs w:val="20"/>
        </w:rPr>
      </w:pPr>
    </w:p>
    <w:p w14:paraId="66CF323E" w14:textId="77777777" w:rsidR="00055AC3" w:rsidRPr="005E4A8E" w:rsidRDefault="00055AC3" w:rsidP="00055AC3">
      <w:pPr>
        <w:pStyle w:val="NoSpacing1"/>
        <w:rPr>
          <w:rFonts w:ascii="Arial" w:hAnsi="Arial" w:cs="Arial"/>
          <w:sz w:val="20"/>
          <w:szCs w:val="20"/>
        </w:rPr>
      </w:pPr>
      <w:r w:rsidRPr="005E4A8E">
        <w:rPr>
          <w:rFonts w:ascii="Arial" w:hAnsi="Arial" w:cs="Arial"/>
          <w:sz w:val="20"/>
          <w:szCs w:val="20"/>
        </w:rPr>
        <w:t xml:space="preserve">The APEC Compendium of Certification Requirements for Imported Wine in APEC Economies outlines the five different types of certification requirements used in APEC.  The current certification requirements are diverse and difficult to understand, especially given the lack of common definitions.  TTB issued 2,500 certificates in 2010, fifty percent of which went to China.  Seventy-seven percent of all certificates are issued to APEC economies.  Regulators need tools to help ensure the safety of wine imported into their economies, however, the current use of multiple certifications in APEC causes barriers to trade in wine.  Regulators should review their use of multiple certificates and consider streamlining the process.  </w:t>
      </w:r>
    </w:p>
    <w:p w14:paraId="35C77181" w14:textId="77777777" w:rsidR="00055AC3" w:rsidRPr="005E4A8E" w:rsidRDefault="00055AC3" w:rsidP="00055AC3">
      <w:pPr>
        <w:pStyle w:val="NoSpacing1"/>
        <w:rPr>
          <w:rFonts w:ascii="Arial" w:hAnsi="Arial" w:cs="Arial"/>
          <w:sz w:val="20"/>
          <w:szCs w:val="20"/>
        </w:rPr>
      </w:pPr>
    </w:p>
    <w:p w14:paraId="3F5A3ACE" w14:textId="77777777" w:rsidR="00055AC3" w:rsidRPr="005E4A8E" w:rsidRDefault="00055AC3" w:rsidP="00055AC3">
      <w:pPr>
        <w:pStyle w:val="NoSpacing1"/>
        <w:rPr>
          <w:rFonts w:ascii="Arial" w:hAnsi="Arial" w:cs="Arial"/>
          <w:sz w:val="20"/>
          <w:szCs w:val="20"/>
        </w:rPr>
      </w:pPr>
      <w:r w:rsidRPr="005E4A8E">
        <w:rPr>
          <w:rFonts w:ascii="Arial" w:hAnsi="Arial" w:cs="Arial"/>
          <w:sz w:val="20"/>
          <w:szCs w:val="20"/>
        </w:rPr>
        <w:t>Diagram of the Certification Requirements in APEC</w:t>
      </w:r>
    </w:p>
    <w:p w14:paraId="038EBB9E" w14:textId="77777777" w:rsidR="00012EFC" w:rsidRPr="005E4A8E" w:rsidRDefault="00012EFC" w:rsidP="00055AC3">
      <w:pPr>
        <w:pStyle w:val="NoSpacing1"/>
        <w:rPr>
          <w:rFonts w:ascii="Arial" w:hAnsi="Arial" w:cs="Arial"/>
          <w:sz w:val="20"/>
          <w:szCs w:val="20"/>
        </w:rPr>
      </w:pPr>
    </w:p>
    <w:p w14:paraId="15C05A84" w14:textId="77777777" w:rsidR="00055AC3" w:rsidRPr="005E4A8E" w:rsidRDefault="00055AC3" w:rsidP="00055AC3">
      <w:pPr>
        <w:pStyle w:val="NoSpacing1"/>
        <w:rPr>
          <w:rFonts w:ascii="Arial" w:hAnsi="Arial" w:cs="Arial"/>
          <w:sz w:val="20"/>
          <w:szCs w:val="20"/>
        </w:rPr>
      </w:pPr>
      <w:r w:rsidRPr="005E4A8E">
        <w:rPr>
          <w:rFonts w:ascii="Arial" w:hAnsi="Arial" w:cs="Arial"/>
          <w:noProof/>
          <w:sz w:val="20"/>
          <w:szCs w:val="20"/>
        </w:rPr>
        <w:pict w14:anchorId="6D930317">
          <v:shape id="_x0000_i1031" type="#_x0000_t75" style="width:468pt;height:340.5pt;visibility:visible">
            <v:imagedata r:id="rId20" o:title=""/>
          </v:shape>
        </w:pict>
      </w:r>
    </w:p>
    <w:p w14:paraId="0F5D43B0" w14:textId="77777777" w:rsidR="00055AC3" w:rsidRPr="005E4A8E" w:rsidRDefault="00055AC3" w:rsidP="00055AC3">
      <w:pPr>
        <w:pStyle w:val="NoSpacing1"/>
        <w:rPr>
          <w:rFonts w:ascii="Arial" w:hAnsi="Arial" w:cs="Arial"/>
          <w:sz w:val="20"/>
          <w:szCs w:val="20"/>
        </w:rPr>
      </w:pPr>
    </w:p>
    <w:p w14:paraId="07FA603A" w14:textId="77777777" w:rsidR="00055AC3" w:rsidRPr="005E4A8E" w:rsidRDefault="00055AC3" w:rsidP="00055AC3">
      <w:pPr>
        <w:spacing w:after="0" w:line="240" w:lineRule="auto"/>
        <w:rPr>
          <w:rFonts w:ascii="Arial" w:hAnsi="Arial" w:cs="Arial"/>
          <w:b/>
          <w:sz w:val="20"/>
          <w:szCs w:val="20"/>
        </w:rPr>
      </w:pPr>
    </w:p>
    <w:p w14:paraId="2B4A47C5" w14:textId="77777777" w:rsidR="00012EFC" w:rsidRPr="005E4A8E" w:rsidRDefault="00012EFC" w:rsidP="00055AC3">
      <w:pPr>
        <w:spacing w:after="0" w:line="240" w:lineRule="auto"/>
        <w:rPr>
          <w:rFonts w:ascii="Arial" w:hAnsi="Arial" w:cs="Arial"/>
          <w:b/>
          <w:sz w:val="20"/>
          <w:szCs w:val="20"/>
        </w:rPr>
      </w:pPr>
    </w:p>
    <w:p w14:paraId="5BB01AF8" w14:textId="77777777" w:rsidR="00055AC3" w:rsidRPr="005E4A8E" w:rsidRDefault="00055AC3" w:rsidP="00055AC3">
      <w:pPr>
        <w:spacing w:after="0" w:line="240" w:lineRule="auto"/>
        <w:rPr>
          <w:rFonts w:ascii="Arial" w:hAnsi="Arial" w:cs="Arial"/>
          <w:i/>
          <w:sz w:val="20"/>
          <w:szCs w:val="20"/>
        </w:rPr>
      </w:pPr>
      <w:r w:rsidRPr="005E4A8E">
        <w:rPr>
          <w:rFonts w:ascii="Arial" w:hAnsi="Arial" w:cs="Arial"/>
          <w:b/>
          <w:sz w:val="20"/>
          <w:szCs w:val="20"/>
        </w:rPr>
        <w:t xml:space="preserve">Economy Presentations Panel.  Moderator: </w:t>
      </w:r>
      <w:r w:rsidRPr="005E4A8E">
        <w:rPr>
          <w:rFonts w:ascii="Arial" w:hAnsi="Arial" w:cs="Arial"/>
          <w:sz w:val="20"/>
          <w:szCs w:val="20"/>
        </w:rPr>
        <w:t>Ms. Gail Davis, Director, U.S. Alcohol and Tobacco Tax and Trade Bureau (TTB) International Trade Division</w:t>
      </w:r>
    </w:p>
    <w:p w14:paraId="0E078419" w14:textId="77777777" w:rsidR="00055AC3" w:rsidRPr="005E4A8E" w:rsidRDefault="00055AC3" w:rsidP="00055AC3">
      <w:pPr>
        <w:spacing w:after="0" w:line="240" w:lineRule="auto"/>
        <w:jc w:val="both"/>
        <w:rPr>
          <w:rFonts w:ascii="Arial" w:hAnsi="Arial" w:cs="Arial"/>
          <w:sz w:val="20"/>
          <w:szCs w:val="20"/>
        </w:rPr>
      </w:pPr>
    </w:p>
    <w:p w14:paraId="51636B0D" w14:textId="77777777" w:rsidR="00055AC3" w:rsidRPr="005E4A8E" w:rsidRDefault="00055AC3" w:rsidP="00055AC3">
      <w:pPr>
        <w:spacing w:after="0" w:line="240" w:lineRule="auto"/>
        <w:rPr>
          <w:rFonts w:ascii="Arial" w:hAnsi="Arial" w:cs="Arial"/>
          <w:sz w:val="20"/>
          <w:szCs w:val="20"/>
        </w:rPr>
      </w:pPr>
      <w:r w:rsidRPr="005E4A8E">
        <w:rPr>
          <w:rFonts w:ascii="Arial" w:hAnsi="Arial" w:cs="Arial"/>
          <w:sz w:val="20"/>
          <w:szCs w:val="20"/>
        </w:rPr>
        <w:t>APEC economy presentations touched on certification, oenological practices, approved additives, processing aids, and</w:t>
      </w:r>
      <w:r w:rsidRPr="005E4A8E">
        <w:rPr>
          <w:rFonts w:ascii="Arial" w:hAnsi="Arial" w:cs="Arial"/>
          <w:iCs/>
          <w:sz w:val="20"/>
          <w:szCs w:val="20"/>
        </w:rPr>
        <w:t xml:space="preserve"> labeling of wine</w:t>
      </w:r>
      <w:r w:rsidRPr="005E4A8E">
        <w:rPr>
          <w:rFonts w:ascii="Arial" w:hAnsi="Arial" w:cs="Arial"/>
          <w:sz w:val="20"/>
          <w:szCs w:val="20"/>
        </w:rPr>
        <w:t xml:space="preserve">.  Detailed information about the organizations that oversee wine regulation, domestic production and consumption were outlined.  Among most economies, the most common problem in wine importation was improper labeling among.  Export certificate requirements were discussed.   </w:t>
      </w:r>
    </w:p>
    <w:p w14:paraId="6E0EC5DC" w14:textId="77777777" w:rsidR="00055AC3" w:rsidRPr="005E4A8E" w:rsidRDefault="00055AC3" w:rsidP="00055AC3">
      <w:pPr>
        <w:spacing w:after="0" w:line="240" w:lineRule="auto"/>
        <w:ind w:left="2160"/>
        <w:rPr>
          <w:rFonts w:ascii="Arial" w:hAnsi="Arial" w:cs="Arial"/>
          <w:b/>
          <w:sz w:val="20"/>
          <w:szCs w:val="20"/>
        </w:rPr>
      </w:pPr>
    </w:p>
    <w:p w14:paraId="47C97797" w14:textId="77777777" w:rsidR="00055AC3" w:rsidRPr="005E4A8E" w:rsidRDefault="00055AC3" w:rsidP="00055AC3">
      <w:pPr>
        <w:pStyle w:val="NoSpacing1"/>
        <w:rPr>
          <w:rFonts w:ascii="Arial" w:hAnsi="Arial" w:cs="Arial"/>
          <w:sz w:val="20"/>
          <w:szCs w:val="20"/>
        </w:rPr>
      </w:pPr>
      <w:r w:rsidRPr="005E4A8E">
        <w:rPr>
          <w:rFonts w:ascii="Arial" w:hAnsi="Arial" w:cs="Arial"/>
          <w:sz w:val="20"/>
          <w:szCs w:val="20"/>
        </w:rPr>
        <w:t xml:space="preserve">Economies were represented by the following officials: </w:t>
      </w:r>
    </w:p>
    <w:p w14:paraId="16FDC0A3" w14:textId="77777777" w:rsidR="00055AC3" w:rsidRPr="005E4A8E" w:rsidRDefault="00055AC3" w:rsidP="00055AC3">
      <w:pPr>
        <w:pStyle w:val="NoSpacing1"/>
        <w:rPr>
          <w:rFonts w:ascii="Arial" w:hAnsi="Arial" w:cs="Arial"/>
          <w:color w:val="000000"/>
          <w:sz w:val="20"/>
          <w:szCs w:val="20"/>
        </w:rPr>
      </w:pPr>
    </w:p>
    <w:p w14:paraId="1FD3EC75" w14:textId="77777777" w:rsidR="00055AC3" w:rsidRPr="005E4A8E" w:rsidRDefault="00055AC3" w:rsidP="00A95C71">
      <w:pPr>
        <w:pStyle w:val="NoSpacing1"/>
        <w:numPr>
          <w:ilvl w:val="0"/>
          <w:numId w:val="6"/>
        </w:numPr>
        <w:rPr>
          <w:rFonts w:ascii="Arial" w:hAnsi="Arial" w:cs="Arial"/>
          <w:color w:val="000000"/>
          <w:sz w:val="20"/>
          <w:szCs w:val="20"/>
          <w:lang w:val="es-CL"/>
        </w:rPr>
      </w:pPr>
      <w:r w:rsidRPr="005E4A8E">
        <w:rPr>
          <w:rFonts w:ascii="Arial" w:hAnsi="Arial" w:cs="Arial"/>
          <w:i/>
          <w:color w:val="000000"/>
          <w:sz w:val="20"/>
          <w:szCs w:val="20"/>
        </w:rPr>
        <w:t xml:space="preserve">Chile:  Mr. Joaquín Almarza Agriculture and Livestock Service </w:t>
      </w:r>
      <w:r w:rsidRPr="005E4A8E">
        <w:rPr>
          <w:rFonts w:ascii="Arial" w:hAnsi="Arial" w:cs="Arial"/>
          <w:color w:val="000000"/>
          <w:sz w:val="20"/>
          <w:szCs w:val="20"/>
          <w:lang w:val="es-CL"/>
        </w:rPr>
        <w:t xml:space="preserve"> </w:t>
      </w:r>
    </w:p>
    <w:p w14:paraId="202303AC" w14:textId="77777777" w:rsidR="00055AC3" w:rsidRPr="005E4A8E" w:rsidRDefault="00055AC3" w:rsidP="00055AC3">
      <w:pPr>
        <w:pStyle w:val="NoSpacing1"/>
        <w:ind w:left="720"/>
        <w:rPr>
          <w:rFonts w:ascii="Arial" w:hAnsi="Arial" w:cs="Arial"/>
          <w:color w:val="000000"/>
          <w:sz w:val="20"/>
          <w:szCs w:val="20"/>
          <w:lang w:val="es-CL"/>
        </w:rPr>
      </w:pPr>
    </w:p>
    <w:p w14:paraId="7A5095AD" w14:textId="77777777" w:rsidR="00055AC3" w:rsidRPr="005E4A8E" w:rsidRDefault="00055AC3" w:rsidP="00A95C71">
      <w:pPr>
        <w:pStyle w:val="NoSpacing1"/>
        <w:numPr>
          <w:ilvl w:val="0"/>
          <w:numId w:val="6"/>
        </w:numPr>
        <w:rPr>
          <w:rFonts w:ascii="Arial" w:hAnsi="Arial" w:cs="Arial"/>
          <w:b/>
          <w:i/>
          <w:color w:val="000000"/>
          <w:sz w:val="20"/>
          <w:szCs w:val="20"/>
        </w:rPr>
      </w:pPr>
      <w:r w:rsidRPr="005E4A8E">
        <w:rPr>
          <w:rFonts w:ascii="Arial" w:hAnsi="Arial" w:cs="Arial"/>
          <w:i/>
          <w:color w:val="000000"/>
          <w:sz w:val="20"/>
          <w:szCs w:val="20"/>
        </w:rPr>
        <w:t>China:  Mr. Han Yi, Deputy Director, Division of Industrial Food, Import and Export Food Safety Bureau, AQSIQ</w:t>
      </w:r>
      <w:r w:rsidRPr="005E4A8E">
        <w:rPr>
          <w:rFonts w:ascii="Arial" w:hAnsi="Arial" w:cs="Arial"/>
          <w:color w:val="000000"/>
          <w:sz w:val="20"/>
          <w:szCs w:val="20"/>
        </w:rPr>
        <w:t xml:space="preserve"> </w:t>
      </w:r>
    </w:p>
    <w:p w14:paraId="008B16E5" w14:textId="77777777" w:rsidR="00055AC3" w:rsidRPr="005E4A8E" w:rsidRDefault="00055AC3" w:rsidP="00055AC3">
      <w:pPr>
        <w:pStyle w:val="NoSpacing1"/>
        <w:ind w:left="720"/>
        <w:rPr>
          <w:rFonts w:ascii="Arial" w:hAnsi="Arial" w:cs="Arial"/>
          <w:i/>
          <w:color w:val="000000"/>
          <w:sz w:val="20"/>
          <w:szCs w:val="20"/>
        </w:rPr>
      </w:pPr>
    </w:p>
    <w:p w14:paraId="72FA0B35" w14:textId="77777777" w:rsidR="00055AC3" w:rsidRPr="005E4A8E" w:rsidRDefault="00055AC3" w:rsidP="00A95C71">
      <w:pPr>
        <w:pStyle w:val="NoSpacing1"/>
        <w:numPr>
          <w:ilvl w:val="0"/>
          <w:numId w:val="6"/>
        </w:numPr>
        <w:rPr>
          <w:rFonts w:ascii="Arial" w:hAnsi="Arial" w:cs="Arial"/>
          <w:i/>
          <w:color w:val="000000"/>
          <w:sz w:val="20"/>
          <w:szCs w:val="20"/>
        </w:rPr>
      </w:pPr>
      <w:r w:rsidRPr="005E4A8E">
        <w:rPr>
          <w:rFonts w:ascii="Arial" w:hAnsi="Arial" w:cs="Arial"/>
          <w:i/>
          <w:color w:val="000000"/>
          <w:sz w:val="20"/>
          <w:szCs w:val="20"/>
        </w:rPr>
        <w:t xml:space="preserve">Japan:  Dr. Nami Goto-Yamamoto, Director, Fundamental Research Division, National Research Institute of Brewing </w:t>
      </w:r>
    </w:p>
    <w:p w14:paraId="7D8CDD0C" w14:textId="77777777" w:rsidR="00055AC3" w:rsidRPr="005E4A8E" w:rsidRDefault="00055AC3" w:rsidP="00055AC3">
      <w:pPr>
        <w:pStyle w:val="NoSpacing1"/>
        <w:ind w:left="720"/>
        <w:rPr>
          <w:rFonts w:ascii="Arial" w:hAnsi="Arial" w:cs="Arial"/>
          <w:i/>
          <w:color w:val="000000"/>
          <w:sz w:val="20"/>
          <w:szCs w:val="20"/>
        </w:rPr>
      </w:pPr>
    </w:p>
    <w:p w14:paraId="20091736" w14:textId="77777777" w:rsidR="00055AC3" w:rsidRPr="005E4A8E" w:rsidRDefault="00055AC3" w:rsidP="00A95C71">
      <w:pPr>
        <w:pStyle w:val="NoSpacing1"/>
        <w:numPr>
          <w:ilvl w:val="0"/>
          <w:numId w:val="6"/>
        </w:numPr>
        <w:rPr>
          <w:rFonts w:ascii="Arial" w:hAnsi="Arial" w:cs="Arial"/>
          <w:i/>
          <w:color w:val="000000"/>
          <w:sz w:val="20"/>
          <w:szCs w:val="20"/>
        </w:rPr>
      </w:pPr>
      <w:r w:rsidRPr="005E4A8E">
        <w:rPr>
          <w:rFonts w:ascii="Arial" w:hAnsi="Arial" w:cs="Arial"/>
          <w:i/>
          <w:color w:val="000000"/>
          <w:sz w:val="20"/>
          <w:szCs w:val="20"/>
        </w:rPr>
        <w:t xml:space="preserve">Korea:  Mr. Jongsoo Kim, Deputy Director, Liquor Safety Management Taskforce, Food Safety Bureau, Korea Food &amp; Drug Administration </w:t>
      </w:r>
    </w:p>
    <w:p w14:paraId="17CC4438" w14:textId="77777777" w:rsidR="00055AC3" w:rsidRPr="005E4A8E" w:rsidRDefault="00055AC3" w:rsidP="00055AC3">
      <w:pPr>
        <w:pStyle w:val="NoSpacing1"/>
        <w:ind w:left="720"/>
        <w:rPr>
          <w:rFonts w:ascii="Arial" w:hAnsi="Arial" w:cs="Arial"/>
          <w:b/>
          <w:i/>
          <w:color w:val="000000"/>
          <w:sz w:val="20"/>
          <w:szCs w:val="20"/>
        </w:rPr>
      </w:pPr>
    </w:p>
    <w:p w14:paraId="1261C468" w14:textId="77777777" w:rsidR="00055AC3" w:rsidRPr="005E4A8E" w:rsidRDefault="00055AC3" w:rsidP="00A95C71">
      <w:pPr>
        <w:pStyle w:val="NoSpacing1"/>
        <w:numPr>
          <w:ilvl w:val="0"/>
          <w:numId w:val="7"/>
        </w:numPr>
        <w:rPr>
          <w:rFonts w:ascii="Arial" w:hAnsi="Arial" w:cs="Arial"/>
          <w:b/>
          <w:i/>
          <w:color w:val="000000"/>
          <w:sz w:val="20"/>
          <w:szCs w:val="20"/>
        </w:rPr>
      </w:pPr>
      <w:r w:rsidRPr="005E4A8E">
        <w:rPr>
          <w:rFonts w:ascii="Arial" w:hAnsi="Arial" w:cs="Arial"/>
          <w:i/>
          <w:color w:val="000000"/>
          <w:sz w:val="20"/>
          <w:szCs w:val="20"/>
        </w:rPr>
        <w:t xml:space="preserve">Mrs. Alejandra Vargas Arrache, Director for International Trade Rules, Ministry of the Economy Peru:  </w:t>
      </w:r>
    </w:p>
    <w:p w14:paraId="4BB875C4" w14:textId="77777777" w:rsidR="00055AC3" w:rsidRPr="005E4A8E" w:rsidRDefault="00055AC3" w:rsidP="00055AC3">
      <w:pPr>
        <w:pStyle w:val="NoSpacing1"/>
        <w:ind w:left="720"/>
        <w:rPr>
          <w:rFonts w:ascii="Arial" w:hAnsi="Arial" w:cs="Arial"/>
          <w:b/>
          <w:i/>
          <w:color w:val="000000"/>
          <w:sz w:val="20"/>
          <w:szCs w:val="20"/>
          <w:u w:val="single"/>
        </w:rPr>
      </w:pPr>
    </w:p>
    <w:p w14:paraId="7E8AAB94" w14:textId="77777777" w:rsidR="00055AC3" w:rsidRPr="005E4A8E" w:rsidRDefault="00055AC3" w:rsidP="00A95C71">
      <w:pPr>
        <w:pStyle w:val="NoSpacing1"/>
        <w:numPr>
          <w:ilvl w:val="0"/>
          <w:numId w:val="7"/>
        </w:numPr>
        <w:rPr>
          <w:rStyle w:val="Hyperlink"/>
          <w:rFonts w:ascii="Arial" w:hAnsi="Arial" w:cs="Arial"/>
          <w:sz w:val="20"/>
          <w:szCs w:val="20"/>
        </w:rPr>
      </w:pPr>
      <w:r w:rsidRPr="005E4A8E">
        <w:rPr>
          <w:rFonts w:ascii="Arial" w:hAnsi="Arial" w:cs="Arial"/>
          <w:i/>
          <w:color w:val="000000"/>
          <w:sz w:val="20"/>
          <w:szCs w:val="20"/>
        </w:rPr>
        <w:t xml:space="preserve">Peru:  Mr. Alfredo San Martin, President, Peru Technical Standardization Committee on Alcoholic Wine Beverages </w:t>
      </w:r>
    </w:p>
    <w:p w14:paraId="28E542A1" w14:textId="77777777" w:rsidR="00055AC3" w:rsidRPr="005E4A8E" w:rsidRDefault="00055AC3" w:rsidP="00055AC3">
      <w:pPr>
        <w:pStyle w:val="NoSpacing1"/>
        <w:ind w:left="720"/>
        <w:rPr>
          <w:rFonts w:ascii="Arial" w:hAnsi="Arial" w:cs="Arial"/>
          <w:i/>
          <w:color w:val="000000"/>
          <w:sz w:val="20"/>
          <w:szCs w:val="20"/>
        </w:rPr>
      </w:pPr>
    </w:p>
    <w:p w14:paraId="7E39E9AF" w14:textId="77777777" w:rsidR="00055AC3" w:rsidRPr="005E4A8E" w:rsidRDefault="00055AC3" w:rsidP="00A95C71">
      <w:pPr>
        <w:pStyle w:val="NoSpacing1"/>
        <w:numPr>
          <w:ilvl w:val="0"/>
          <w:numId w:val="6"/>
        </w:numPr>
        <w:rPr>
          <w:rFonts w:ascii="Arial" w:hAnsi="Arial" w:cs="Arial"/>
          <w:i/>
          <w:color w:val="000000"/>
          <w:sz w:val="20"/>
          <w:szCs w:val="20"/>
        </w:rPr>
      </w:pPr>
      <w:r w:rsidRPr="005E4A8E">
        <w:rPr>
          <w:rFonts w:ascii="Arial" w:hAnsi="Arial" w:cs="Arial"/>
          <w:i/>
          <w:color w:val="000000"/>
          <w:sz w:val="20"/>
          <w:szCs w:val="20"/>
        </w:rPr>
        <w:t xml:space="preserve">Chinese Taipei:  Mr. Minghui Tang, Deputy Director-General, National Treasury Agency, Ministry of Finance </w:t>
      </w:r>
    </w:p>
    <w:p w14:paraId="0EC6DE8E" w14:textId="77777777" w:rsidR="00055AC3" w:rsidRPr="005E4A8E" w:rsidRDefault="00055AC3" w:rsidP="00055AC3">
      <w:pPr>
        <w:pStyle w:val="NoSpacing1"/>
        <w:ind w:left="720"/>
        <w:rPr>
          <w:rFonts w:ascii="Arial" w:hAnsi="Arial" w:cs="Arial"/>
          <w:i/>
          <w:color w:val="000000"/>
          <w:sz w:val="20"/>
          <w:szCs w:val="20"/>
        </w:rPr>
      </w:pPr>
    </w:p>
    <w:p w14:paraId="7E54AA59" w14:textId="77777777" w:rsidR="00055AC3" w:rsidRPr="005E4A8E" w:rsidRDefault="00055AC3" w:rsidP="00A95C71">
      <w:pPr>
        <w:pStyle w:val="NoSpacing1"/>
        <w:numPr>
          <w:ilvl w:val="0"/>
          <w:numId w:val="6"/>
        </w:numPr>
        <w:rPr>
          <w:rFonts w:ascii="Arial" w:hAnsi="Arial" w:cs="Arial"/>
          <w:i/>
          <w:color w:val="000000"/>
          <w:sz w:val="20"/>
          <w:szCs w:val="20"/>
        </w:rPr>
      </w:pPr>
      <w:r w:rsidRPr="005E4A8E">
        <w:rPr>
          <w:rFonts w:ascii="Arial" w:hAnsi="Arial" w:cs="Arial"/>
          <w:i/>
          <w:color w:val="000000"/>
          <w:sz w:val="20"/>
          <w:szCs w:val="20"/>
        </w:rPr>
        <w:t>T</w:t>
      </w:r>
      <w:r w:rsidR="00012EFC" w:rsidRPr="005E4A8E">
        <w:rPr>
          <w:rFonts w:ascii="Arial" w:hAnsi="Arial" w:cs="Arial"/>
          <w:i/>
          <w:color w:val="000000"/>
          <w:sz w:val="20"/>
          <w:szCs w:val="20"/>
        </w:rPr>
        <w:t>h</w:t>
      </w:r>
      <w:r w:rsidRPr="005E4A8E">
        <w:rPr>
          <w:rFonts w:ascii="Arial" w:hAnsi="Arial" w:cs="Arial"/>
          <w:i/>
          <w:color w:val="000000"/>
          <w:sz w:val="20"/>
          <w:szCs w:val="20"/>
        </w:rPr>
        <w:t xml:space="preserve">ailand:  Ms. Prem Malhorta, Director, International Affairs Bureau, Thai Industrial Standards Institute </w:t>
      </w:r>
    </w:p>
    <w:p w14:paraId="11182473" w14:textId="77777777" w:rsidR="00BC6FD9" w:rsidRPr="005E4A8E" w:rsidRDefault="00BC6FD9" w:rsidP="00BC6FD9">
      <w:pPr>
        <w:spacing w:after="0" w:line="240" w:lineRule="auto"/>
        <w:rPr>
          <w:rFonts w:ascii="Arial" w:hAnsi="Arial" w:cs="Arial"/>
          <w:b/>
          <w:sz w:val="20"/>
          <w:szCs w:val="20"/>
          <w:u w:val="single"/>
        </w:rPr>
      </w:pPr>
    </w:p>
    <w:p w14:paraId="663B1D07" w14:textId="77777777" w:rsidR="004170FD" w:rsidRPr="005E4A8E" w:rsidRDefault="004170FD" w:rsidP="004170FD">
      <w:pPr>
        <w:pStyle w:val="NoSpacing1"/>
        <w:rPr>
          <w:rFonts w:ascii="Arial" w:hAnsi="Arial" w:cs="Arial"/>
          <w:i/>
          <w:sz w:val="20"/>
          <w:szCs w:val="20"/>
        </w:rPr>
      </w:pPr>
      <w:r w:rsidRPr="005E4A8E">
        <w:rPr>
          <w:rFonts w:ascii="Arial" w:hAnsi="Arial" w:cs="Arial"/>
          <w:b/>
          <w:sz w:val="20"/>
          <w:szCs w:val="20"/>
        </w:rPr>
        <w:t>The Importance of International Organizations and Standards.</w:t>
      </w:r>
      <w:r w:rsidRPr="005E4A8E">
        <w:rPr>
          <w:rFonts w:ascii="Arial" w:hAnsi="Arial" w:cs="Arial"/>
          <w:sz w:val="20"/>
          <w:szCs w:val="20"/>
        </w:rPr>
        <w:t xml:space="preserve">  Moderator: Mr. James B. Clawson, President, JBC International </w:t>
      </w:r>
    </w:p>
    <w:p w14:paraId="04D579CD" w14:textId="77777777" w:rsidR="004170FD" w:rsidRPr="005E4A8E" w:rsidRDefault="004170FD" w:rsidP="004170FD">
      <w:pPr>
        <w:pStyle w:val="NoSpacing1"/>
        <w:rPr>
          <w:rFonts w:ascii="Arial" w:hAnsi="Arial" w:cs="Arial"/>
          <w:i/>
          <w:sz w:val="20"/>
          <w:szCs w:val="20"/>
        </w:rPr>
      </w:pPr>
    </w:p>
    <w:p w14:paraId="0CAE624D" w14:textId="77777777" w:rsidR="004170FD" w:rsidRPr="005E4A8E" w:rsidRDefault="004170FD" w:rsidP="00A95C71">
      <w:pPr>
        <w:pStyle w:val="NoSpacing1"/>
        <w:numPr>
          <w:ilvl w:val="0"/>
          <w:numId w:val="4"/>
        </w:numPr>
        <w:rPr>
          <w:rFonts w:ascii="Arial" w:hAnsi="Arial" w:cs="Arial"/>
          <w:sz w:val="20"/>
          <w:szCs w:val="20"/>
        </w:rPr>
      </w:pPr>
      <w:r w:rsidRPr="005E4A8E">
        <w:rPr>
          <w:rFonts w:ascii="Arial" w:hAnsi="Arial" w:cs="Arial"/>
          <w:i/>
          <w:sz w:val="20"/>
          <w:szCs w:val="20"/>
        </w:rPr>
        <w:t>Mr. Tony Battaglene, General Manager, Strategy &amp; International Affairs, Winemakers Federation of Australia</w:t>
      </w:r>
    </w:p>
    <w:p w14:paraId="18FDD9A0" w14:textId="77777777" w:rsidR="004170FD" w:rsidRPr="005E4A8E" w:rsidRDefault="004170FD" w:rsidP="004170FD">
      <w:pPr>
        <w:pStyle w:val="NoSpacing1"/>
        <w:rPr>
          <w:rFonts w:ascii="Arial" w:hAnsi="Arial" w:cs="Arial"/>
          <w:i/>
          <w:sz w:val="20"/>
          <w:szCs w:val="20"/>
        </w:rPr>
      </w:pPr>
    </w:p>
    <w:p w14:paraId="5D9284B2" w14:textId="77777777" w:rsidR="004170FD" w:rsidRPr="005E4A8E" w:rsidRDefault="004170FD" w:rsidP="004170FD">
      <w:pPr>
        <w:pStyle w:val="NoSpacing1"/>
        <w:rPr>
          <w:rFonts w:ascii="Arial" w:hAnsi="Arial" w:cs="Arial"/>
          <w:sz w:val="20"/>
          <w:szCs w:val="20"/>
        </w:rPr>
      </w:pPr>
      <w:r w:rsidRPr="005E4A8E">
        <w:rPr>
          <w:rFonts w:ascii="Arial" w:hAnsi="Arial" w:cs="Arial"/>
          <w:sz w:val="20"/>
          <w:szCs w:val="20"/>
        </w:rPr>
        <w:t xml:space="preserve">The international organizations that affect the wine industry include the: World Trade Organization (WTO), World Wine Trade Group (WWTG); International Organisation of Vine and Wine (OIV), CODEX Alimentarius (CODEX), International Organization of Legal Metrology (OIML), FIVS the worldwide federation for beer, wine, and spirits, World Health Organization (WHO).  Many APEC economies also participate in regional and bilateral free trade agreements where negotiations occur on wine issues. </w:t>
      </w:r>
    </w:p>
    <w:p w14:paraId="58F99BFF" w14:textId="77777777" w:rsidR="004170FD" w:rsidRPr="005E4A8E" w:rsidRDefault="004170FD" w:rsidP="004170FD">
      <w:pPr>
        <w:pStyle w:val="NoSpacing1"/>
        <w:ind w:left="720"/>
        <w:rPr>
          <w:rFonts w:ascii="Arial" w:hAnsi="Arial" w:cs="Arial"/>
          <w:i/>
          <w:sz w:val="20"/>
          <w:szCs w:val="20"/>
        </w:rPr>
      </w:pPr>
    </w:p>
    <w:p w14:paraId="7AE25EB9" w14:textId="77777777" w:rsidR="004170FD" w:rsidRPr="005E4A8E" w:rsidRDefault="004170FD" w:rsidP="00A95C71">
      <w:pPr>
        <w:pStyle w:val="NoSpacing1"/>
        <w:numPr>
          <w:ilvl w:val="0"/>
          <w:numId w:val="2"/>
        </w:numPr>
        <w:rPr>
          <w:rFonts w:ascii="Arial" w:hAnsi="Arial" w:cs="Arial"/>
          <w:i/>
          <w:sz w:val="20"/>
          <w:szCs w:val="20"/>
        </w:rPr>
      </w:pPr>
      <w:r w:rsidRPr="005E4A8E">
        <w:rPr>
          <w:rFonts w:ascii="Arial" w:hAnsi="Arial" w:cs="Arial"/>
          <w:i/>
          <w:sz w:val="20"/>
          <w:szCs w:val="20"/>
        </w:rPr>
        <w:t xml:space="preserve">Dr. Dennis Keefe, Office of Food Additive Safety, U.S. Food and Drug Administration </w:t>
      </w:r>
    </w:p>
    <w:p w14:paraId="5958DE49" w14:textId="77777777" w:rsidR="004170FD" w:rsidRPr="005E4A8E" w:rsidRDefault="004170FD" w:rsidP="004170FD">
      <w:pPr>
        <w:pStyle w:val="NoSpacing1"/>
        <w:rPr>
          <w:rFonts w:ascii="Arial" w:hAnsi="Arial" w:cs="Arial"/>
          <w:sz w:val="20"/>
          <w:szCs w:val="20"/>
        </w:rPr>
      </w:pPr>
    </w:p>
    <w:p w14:paraId="415472C2" w14:textId="77777777" w:rsidR="004170FD" w:rsidRPr="005E4A8E" w:rsidRDefault="004170FD" w:rsidP="004170FD">
      <w:pPr>
        <w:pStyle w:val="NoSpacing1"/>
        <w:rPr>
          <w:rFonts w:ascii="Arial" w:hAnsi="Arial" w:cs="Arial"/>
          <w:sz w:val="20"/>
          <w:szCs w:val="20"/>
        </w:rPr>
      </w:pPr>
      <w:r w:rsidRPr="005E4A8E">
        <w:rPr>
          <w:rFonts w:ascii="Arial" w:hAnsi="Arial" w:cs="Arial"/>
          <w:sz w:val="20"/>
          <w:szCs w:val="20"/>
        </w:rPr>
        <w:t xml:space="preserve">The standards adopted by Codex Alimentarius are the benchmark for food safety under the World Trade Organization, and under its classification wine is included as food.  The central role and development of the Codex General Standard Food Additives was outlined and economies were encouraged to participate in the elaboration of the Codex standard.  </w:t>
      </w:r>
    </w:p>
    <w:p w14:paraId="5FC346F4" w14:textId="77777777" w:rsidR="004170FD" w:rsidRPr="005E4A8E" w:rsidRDefault="004170FD" w:rsidP="004170FD">
      <w:pPr>
        <w:pStyle w:val="NoSpacing1"/>
        <w:rPr>
          <w:rFonts w:ascii="Arial" w:hAnsi="Arial" w:cs="Arial"/>
          <w:i/>
          <w:sz w:val="20"/>
          <w:szCs w:val="20"/>
        </w:rPr>
      </w:pPr>
    </w:p>
    <w:p w14:paraId="6185ED9C" w14:textId="77777777" w:rsidR="004170FD" w:rsidRPr="005E4A8E" w:rsidRDefault="004170FD" w:rsidP="00A95C71">
      <w:pPr>
        <w:pStyle w:val="NoSpacing1"/>
        <w:numPr>
          <w:ilvl w:val="0"/>
          <w:numId w:val="2"/>
        </w:numPr>
        <w:rPr>
          <w:rFonts w:ascii="Arial" w:hAnsi="Arial" w:cs="Arial"/>
          <w:i/>
          <w:sz w:val="20"/>
          <w:szCs w:val="20"/>
        </w:rPr>
      </w:pPr>
      <w:r w:rsidRPr="005E4A8E">
        <w:rPr>
          <w:rFonts w:ascii="Arial" w:hAnsi="Arial" w:cs="Arial"/>
          <w:i/>
          <w:sz w:val="20"/>
          <w:szCs w:val="20"/>
        </w:rPr>
        <w:t xml:space="preserve">Ms. Lori Tortora, International Trade Specialist, Processed Products &amp; Technical Regulations Div., USDA Foreign Agricultural Service/OASA </w:t>
      </w:r>
    </w:p>
    <w:p w14:paraId="69F953E2" w14:textId="77777777" w:rsidR="004170FD" w:rsidRPr="005E4A8E" w:rsidRDefault="004170FD" w:rsidP="004170FD">
      <w:pPr>
        <w:pStyle w:val="NoSpacing1"/>
        <w:rPr>
          <w:rFonts w:ascii="Arial" w:hAnsi="Arial" w:cs="Arial"/>
          <w:sz w:val="20"/>
          <w:szCs w:val="20"/>
        </w:rPr>
      </w:pPr>
    </w:p>
    <w:p w14:paraId="1D13F99E" w14:textId="77777777" w:rsidR="004170FD" w:rsidRPr="005E4A8E" w:rsidRDefault="004170FD" w:rsidP="004170FD">
      <w:pPr>
        <w:pStyle w:val="NoSpacing1"/>
        <w:rPr>
          <w:rFonts w:ascii="Arial" w:hAnsi="Arial" w:cs="Arial"/>
          <w:sz w:val="20"/>
          <w:szCs w:val="20"/>
        </w:rPr>
      </w:pPr>
      <w:r w:rsidRPr="005E4A8E">
        <w:rPr>
          <w:rFonts w:ascii="Arial" w:hAnsi="Arial" w:cs="Arial"/>
          <w:sz w:val="20"/>
          <w:szCs w:val="20"/>
        </w:rPr>
        <w:t xml:space="preserve">The Codex Alimentarius Commission undertook the development of guidance documents on food import and export inspection and certification systems in 1991.  The Codex Committee on Food </w:t>
      </w:r>
      <w:r w:rsidRPr="005E4A8E">
        <w:rPr>
          <w:rFonts w:ascii="Arial" w:hAnsi="Arial" w:cs="Arial"/>
          <w:sz w:val="20"/>
          <w:szCs w:val="20"/>
        </w:rPr>
        <w:lastRenderedPageBreak/>
        <w:t xml:space="preserve">Import and Export Inspection and Certification Systems (CCFICS) provides guidance on the need for and appropriate use of export certificates.  APEC wine regulators were encouraged to use a standard format for certification requirements and to refer to the basic APEC model for guidance. </w:t>
      </w:r>
    </w:p>
    <w:p w14:paraId="225BE72F" w14:textId="77777777" w:rsidR="004170FD" w:rsidRPr="005E4A8E" w:rsidRDefault="004170FD" w:rsidP="004170FD">
      <w:pPr>
        <w:pStyle w:val="NoSpacing1"/>
        <w:rPr>
          <w:rFonts w:ascii="Arial" w:hAnsi="Arial" w:cs="Arial"/>
          <w:i/>
          <w:sz w:val="20"/>
          <w:szCs w:val="20"/>
        </w:rPr>
      </w:pPr>
    </w:p>
    <w:p w14:paraId="3AC0C62C" w14:textId="77777777" w:rsidR="004170FD" w:rsidRPr="005E4A8E" w:rsidRDefault="004170FD" w:rsidP="00A95C71">
      <w:pPr>
        <w:pStyle w:val="NoSpacing1"/>
        <w:numPr>
          <w:ilvl w:val="0"/>
          <w:numId w:val="2"/>
        </w:numPr>
        <w:rPr>
          <w:rFonts w:ascii="Arial" w:hAnsi="Arial" w:cs="Arial"/>
          <w:i/>
          <w:sz w:val="20"/>
          <w:szCs w:val="20"/>
        </w:rPr>
      </w:pPr>
      <w:r w:rsidRPr="005E4A8E">
        <w:rPr>
          <w:rFonts w:ascii="Arial" w:hAnsi="Arial" w:cs="Arial"/>
          <w:i/>
          <w:sz w:val="20"/>
          <w:szCs w:val="20"/>
        </w:rPr>
        <w:t>Ms. Julia Doherty, Chair, APEC Sub-Committee on Standards and Conformance</w:t>
      </w:r>
    </w:p>
    <w:p w14:paraId="107F667F" w14:textId="77777777" w:rsidR="004170FD" w:rsidRPr="005E4A8E" w:rsidRDefault="004170FD" w:rsidP="004170FD">
      <w:pPr>
        <w:spacing w:after="0" w:line="240" w:lineRule="auto"/>
        <w:rPr>
          <w:rFonts w:ascii="Arial" w:hAnsi="Arial" w:cs="Arial"/>
          <w:b/>
          <w:sz w:val="20"/>
          <w:szCs w:val="20"/>
        </w:rPr>
      </w:pPr>
    </w:p>
    <w:p w14:paraId="028BC7D1" w14:textId="77777777" w:rsidR="004170FD" w:rsidRPr="005E4A8E" w:rsidRDefault="004170FD" w:rsidP="004170FD">
      <w:pPr>
        <w:spacing w:after="0" w:line="240" w:lineRule="auto"/>
        <w:rPr>
          <w:rFonts w:ascii="Arial" w:hAnsi="Arial" w:cs="Arial"/>
          <w:sz w:val="20"/>
          <w:szCs w:val="20"/>
        </w:rPr>
      </w:pPr>
      <w:r w:rsidRPr="005E4A8E">
        <w:rPr>
          <w:rFonts w:ascii="Arial" w:hAnsi="Arial" w:cs="Arial"/>
          <w:sz w:val="20"/>
          <w:szCs w:val="20"/>
        </w:rPr>
        <w:t xml:space="preserve">The WTO Technical Barriers to Trade and Sanity and Phytosanitary (SPS) provisions were introduced.  The role of these provisions in helping economies to reduce costs and </w:t>
      </w:r>
    </w:p>
    <w:p w14:paraId="477D60D0" w14:textId="77777777" w:rsidR="004170FD" w:rsidRPr="005E4A8E" w:rsidRDefault="004170FD" w:rsidP="004170FD">
      <w:pPr>
        <w:spacing w:after="0" w:line="240" w:lineRule="auto"/>
        <w:rPr>
          <w:rFonts w:ascii="Arial" w:hAnsi="Arial" w:cs="Arial"/>
          <w:sz w:val="20"/>
          <w:szCs w:val="20"/>
        </w:rPr>
      </w:pPr>
      <w:r w:rsidRPr="005E4A8E">
        <w:rPr>
          <w:rFonts w:ascii="Arial" w:hAnsi="Arial" w:cs="Arial"/>
          <w:sz w:val="20"/>
          <w:szCs w:val="20"/>
        </w:rPr>
        <w:t xml:space="preserve">delays attributable to unnecessary, duplicative, and unclear testing regimes was discussed.  Economies were encouraged to use APEC to resolve bilateral trading issues in order to avoid elevating issues to the WTO TBT.  Wine issues currently discussed in the WTO TBT Committee were reviewed. </w:t>
      </w:r>
    </w:p>
    <w:p w14:paraId="2FF7D4C5" w14:textId="77777777" w:rsidR="00012EFC" w:rsidRPr="005E4A8E" w:rsidRDefault="00012EFC" w:rsidP="00BC6FD9">
      <w:pPr>
        <w:spacing w:after="0" w:line="240" w:lineRule="auto"/>
        <w:rPr>
          <w:rFonts w:ascii="Arial" w:hAnsi="Arial" w:cs="Arial"/>
          <w:b/>
          <w:sz w:val="20"/>
          <w:szCs w:val="20"/>
          <w:u w:val="single"/>
        </w:rPr>
      </w:pPr>
    </w:p>
    <w:p w14:paraId="51AA65CD" w14:textId="77777777" w:rsidR="00FB18EF" w:rsidRPr="005E4A8E" w:rsidRDefault="00FB18EF" w:rsidP="00FB18EF">
      <w:pPr>
        <w:pStyle w:val="NoSpacing1"/>
        <w:rPr>
          <w:rFonts w:ascii="Arial" w:hAnsi="Arial" w:cs="Arial"/>
          <w:i/>
          <w:sz w:val="20"/>
          <w:szCs w:val="20"/>
        </w:rPr>
      </w:pPr>
      <w:r w:rsidRPr="005E4A8E">
        <w:rPr>
          <w:rFonts w:ascii="Arial" w:hAnsi="Arial" w:cs="Arial"/>
          <w:b/>
          <w:sz w:val="20"/>
          <w:szCs w:val="20"/>
        </w:rPr>
        <w:t xml:space="preserve">Best Practices in Wine Regulation Panel.  Moderator: </w:t>
      </w:r>
      <w:r w:rsidRPr="005E4A8E">
        <w:rPr>
          <w:rFonts w:ascii="Arial" w:hAnsi="Arial" w:cs="Arial"/>
          <w:sz w:val="20"/>
          <w:szCs w:val="20"/>
        </w:rPr>
        <w:t xml:space="preserve">Mr. Wade Armstrong, </w:t>
      </w:r>
      <w:r w:rsidRPr="005E4A8E">
        <w:rPr>
          <w:rFonts w:ascii="Arial" w:hAnsi="Arial" w:cs="Arial"/>
          <w:bCs/>
          <w:sz w:val="20"/>
          <w:szCs w:val="20"/>
        </w:rPr>
        <w:t xml:space="preserve">Principal Adviser Trade Policy, </w:t>
      </w:r>
      <w:r w:rsidRPr="005E4A8E">
        <w:rPr>
          <w:rFonts w:ascii="Arial" w:hAnsi="Arial" w:cs="Arial"/>
          <w:sz w:val="20"/>
          <w:szCs w:val="20"/>
        </w:rPr>
        <w:t xml:space="preserve">New Zealand </w:t>
      </w:r>
      <w:r w:rsidRPr="005E4A8E">
        <w:rPr>
          <w:rFonts w:ascii="Arial" w:hAnsi="Arial" w:cs="Arial"/>
          <w:bCs/>
          <w:sz w:val="20"/>
          <w:szCs w:val="20"/>
        </w:rPr>
        <w:t>Ministry of Foreign Affairs &amp; Trade</w:t>
      </w:r>
      <w:r w:rsidRPr="005E4A8E">
        <w:rPr>
          <w:rFonts w:ascii="Arial" w:hAnsi="Arial" w:cs="Arial"/>
          <w:i/>
          <w:sz w:val="20"/>
          <w:szCs w:val="20"/>
        </w:rPr>
        <w:t xml:space="preserve"> </w:t>
      </w:r>
    </w:p>
    <w:p w14:paraId="11105A51" w14:textId="77777777" w:rsidR="00FB18EF" w:rsidRPr="005E4A8E" w:rsidRDefault="00FB18EF" w:rsidP="00FB18EF">
      <w:pPr>
        <w:pStyle w:val="NoSpacing1"/>
        <w:ind w:left="720"/>
        <w:rPr>
          <w:rFonts w:ascii="Arial" w:hAnsi="Arial" w:cs="Arial"/>
          <w:i/>
          <w:sz w:val="20"/>
          <w:szCs w:val="20"/>
        </w:rPr>
      </w:pPr>
    </w:p>
    <w:p w14:paraId="3B659E08" w14:textId="77777777" w:rsidR="00FB18EF" w:rsidRPr="005E4A8E" w:rsidRDefault="00FB18EF" w:rsidP="00A95C71">
      <w:pPr>
        <w:pStyle w:val="NoSpacing1"/>
        <w:numPr>
          <w:ilvl w:val="0"/>
          <w:numId w:val="2"/>
        </w:numPr>
        <w:rPr>
          <w:rFonts w:ascii="Arial" w:hAnsi="Arial" w:cs="Arial"/>
          <w:i/>
          <w:sz w:val="20"/>
          <w:szCs w:val="20"/>
        </w:rPr>
      </w:pPr>
      <w:r w:rsidRPr="005E4A8E">
        <w:rPr>
          <w:rFonts w:ascii="Arial" w:hAnsi="Arial" w:cs="Arial"/>
          <w:i/>
          <w:sz w:val="20"/>
          <w:szCs w:val="20"/>
        </w:rPr>
        <w:t xml:space="preserve">Mr. Robert Kalik, World Wine Trade Group </w:t>
      </w:r>
    </w:p>
    <w:p w14:paraId="446C731F" w14:textId="77777777" w:rsidR="00FB18EF" w:rsidRPr="005E4A8E" w:rsidRDefault="00FB18EF" w:rsidP="00FB18EF">
      <w:pPr>
        <w:pStyle w:val="NoSpacing1"/>
        <w:rPr>
          <w:rFonts w:ascii="Arial" w:eastAsia="Times New Roman" w:hAnsi="Arial" w:cs="Arial"/>
          <w:sz w:val="20"/>
          <w:szCs w:val="20"/>
        </w:rPr>
      </w:pPr>
    </w:p>
    <w:p w14:paraId="0F893A6A" w14:textId="77777777" w:rsidR="00FB18EF" w:rsidRPr="005E4A8E" w:rsidRDefault="00FB18EF" w:rsidP="00FB18EF">
      <w:pPr>
        <w:pStyle w:val="NoSpacing1"/>
        <w:rPr>
          <w:rFonts w:ascii="Arial" w:eastAsia="Times New Roman" w:hAnsi="Arial" w:cs="Arial"/>
          <w:sz w:val="20"/>
          <w:szCs w:val="20"/>
        </w:rPr>
      </w:pPr>
      <w:r w:rsidRPr="005E4A8E">
        <w:rPr>
          <w:rFonts w:ascii="Arial" w:eastAsia="Times New Roman" w:hAnsi="Arial" w:cs="Arial"/>
          <w:sz w:val="20"/>
          <w:szCs w:val="20"/>
        </w:rPr>
        <w:t>The two WWTG</w:t>
      </w:r>
      <w:r w:rsidRPr="005E4A8E">
        <w:rPr>
          <w:rStyle w:val="FootnoteReference"/>
          <w:rFonts w:ascii="Arial" w:eastAsia="Times New Roman" w:hAnsi="Arial" w:cs="Arial"/>
          <w:sz w:val="20"/>
          <w:szCs w:val="20"/>
        </w:rPr>
        <w:footnoteReference w:id="6"/>
      </w:r>
      <w:r w:rsidRPr="005E4A8E">
        <w:rPr>
          <w:rFonts w:ascii="Arial" w:eastAsia="Times New Roman" w:hAnsi="Arial" w:cs="Arial"/>
          <w:sz w:val="20"/>
          <w:szCs w:val="20"/>
        </w:rPr>
        <w:t xml:space="preserve"> international treaties were detailed:  the Mutual Acceptance Agreement on Oenological Practices (MAA)</w:t>
      </w:r>
      <w:r w:rsidRPr="005E4A8E">
        <w:rPr>
          <w:rStyle w:val="FootnoteReference"/>
          <w:rFonts w:ascii="Arial" w:eastAsia="Times New Roman" w:hAnsi="Arial" w:cs="Arial"/>
          <w:sz w:val="20"/>
          <w:szCs w:val="20"/>
        </w:rPr>
        <w:footnoteReference w:id="7"/>
      </w:r>
      <w:r w:rsidRPr="005E4A8E">
        <w:rPr>
          <w:rFonts w:ascii="Arial" w:eastAsia="Times New Roman" w:hAnsi="Arial" w:cs="Arial"/>
          <w:sz w:val="20"/>
          <w:szCs w:val="20"/>
        </w:rPr>
        <w:t>, and the Agreement on the Requirements for Wine Labeling</w:t>
      </w:r>
      <w:r w:rsidRPr="005E4A8E">
        <w:rPr>
          <w:rStyle w:val="FootnoteReference"/>
          <w:rFonts w:ascii="Arial" w:eastAsia="Times New Roman" w:hAnsi="Arial" w:cs="Arial"/>
          <w:sz w:val="20"/>
          <w:szCs w:val="20"/>
        </w:rPr>
        <w:footnoteReference w:id="8"/>
      </w:r>
      <w:r w:rsidRPr="005E4A8E">
        <w:rPr>
          <w:rFonts w:ascii="Arial" w:eastAsia="Times New Roman" w:hAnsi="Arial" w:cs="Arial"/>
          <w:sz w:val="20"/>
          <w:szCs w:val="20"/>
        </w:rPr>
        <w:t xml:space="preserve">.  Signatory economies to the MAA accept the winemaking regulations and practices of the exporting economy, thus eliminating the need for testing of imported wines; however, health and safety issues remain in the purview of the economy.  Signatory economies to the Labeling Agreement agree to the placement of four items country of origin, product name, net contents, and alcohol content in a single field of vision.  Importing authorities are allowed to require additional labeling information.  The agreement was signed by all WWTG members on January 23, 2007 in Australia.  APEC economies can participate in the WWTG as observers. </w:t>
      </w:r>
    </w:p>
    <w:p w14:paraId="1E92B94B" w14:textId="77777777" w:rsidR="00FB18EF" w:rsidRPr="005E4A8E" w:rsidRDefault="00FB18EF" w:rsidP="00FB18EF">
      <w:pPr>
        <w:pStyle w:val="NoSpacing1"/>
        <w:rPr>
          <w:rFonts w:ascii="Arial" w:hAnsi="Arial" w:cs="Arial"/>
          <w:i/>
          <w:sz w:val="20"/>
          <w:szCs w:val="20"/>
        </w:rPr>
      </w:pPr>
    </w:p>
    <w:p w14:paraId="7DDB4257" w14:textId="77777777" w:rsidR="00FB18EF" w:rsidRPr="005E4A8E" w:rsidRDefault="00FB18EF" w:rsidP="00A95C71">
      <w:pPr>
        <w:pStyle w:val="NoSpacing1"/>
        <w:numPr>
          <w:ilvl w:val="0"/>
          <w:numId w:val="3"/>
        </w:numPr>
        <w:rPr>
          <w:rFonts w:ascii="Arial" w:hAnsi="Arial" w:cs="Arial"/>
          <w:i/>
          <w:sz w:val="20"/>
          <w:szCs w:val="20"/>
        </w:rPr>
      </w:pPr>
      <w:r w:rsidRPr="005E4A8E">
        <w:rPr>
          <w:rFonts w:ascii="Arial" w:hAnsi="Arial" w:cs="Arial"/>
          <w:i/>
          <w:sz w:val="20"/>
          <w:szCs w:val="20"/>
        </w:rPr>
        <w:t xml:space="preserve">Mr. Federico Mekis, International Legal Advisor, Wines of Chile </w:t>
      </w:r>
    </w:p>
    <w:p w14:paraId="5F8D0A7A" w14:textId="77777777" w:rsidR="00FB18EF" w:rsidRPr="005E4A8E" w:rsidRDefault="00FB18EF" w:rsidP="00FB18EF">
      <w:pPr>
        <w:pStyle w:val="NoSpacing1"/>
        <w:ind w:left="720"/>
        <w:rPr>
          <w:rFonts w:ascii="Arial" w:hAnsi="Arial" w:cs="Arial"/>
          <w:sz w:val="20"/>
          <w:szCs w:val="20"/>
        </w:rPr>
      </w:pPr>
    </w:p>
    <w:p w14:paraId="40D7C25D" w14:textId="77777777" w:rsidR="00FB18EF" w:rsidRPr="005E4A8E" w:rsidRDefault="00FB18EF" w:rsidP="00FB18EF">
      <w:pPr>
        <w:pStyle w:val="NoSpacing1"/>
        <w:rPr>
          <w:rFonts w:ascii="Arial" w:hAnsi="Arial" w:cs="Arial"/>
          <w:sz w:val="20"/>
          <w:szCs w:val="20"/>
        </w:rPr>
      </w:pPr>
      <w:r w:rsidRPr="005E4A8E">
        <w:rPr>
          <w:rFonts w:ascii="Arial" w:hAnsi="Arial" w:cs="Arial"/>
          <w:sz w:val="20"/>
          <w:szCs w:val="20"/>
        </w:rPr>
        <w:t xml:space="preserve">The use of pesticides and their regulation in wine were discussed.  Economies should note that the SCSC Initiative in the Food Safety Cooperation Forum has undertaken work in the area of MRLs in an effort to facilitate trade and protect public health.   </w:t>
      </w:r>
    </w:p>
    <w:p w14:paraId="30482DAC" w14:textId="77777777" w:rsidR="00FB18EF" w:rsidRPr="005E4A8E" w:rsidRDefault="00FB18EF" w:rsidP="00FB18EF">
      <w:pPr>
        <w:pStyle w:val="NoSpacing1"/>
        <w:rPr>
          <w:rFonts w:ascii="Arial" w:hAnsi="Arial" w:cs="Arial"/>
          <w:sz w:val="20"/>
          <w:szCs w:val="20"/>
        </w:rPr>
      </w:pPr>
    </w:p>
    <w:p w14:paraId="5C0CE8B0" w14:textId="77777777" w:rsidR="00FB18EF" w:rsidRPr="005E4A8E" w:rsidRDefault="00FB18EF" w:rsidP="00A95C71">
      <w:pPr>
        <w:pStyle w:val="NoSpacing1"/>
        <w:numPr>
          <w:ilvl w:val="0"/>
          <w:numId w:val="3"/>
        </w:numPr>
        <w:rPr>
          <w:rFonts w:ascii="Arial" w:hAnsi="Arial" w:cs="Arial"/>
          <w:i/>
          <w:sz w:val="20"/>
          <w:szCs w:val="20"/>
        </w:rPr>
      </w:pPr>
      <w:r w:rsidRPr="005E4A8E">
        <w:rPr>
          <w:rFonts w:ascii="Arial" w:hAnsi="Arial" w:cs="Arial"/>
          <w:i/>
          <w:sz w:val="20"/>
          <w:szCs w:val="20"/>
        </w:rPr>
        <w:t>Mr. Dan P</w:t>
      </w:r>
      <w:r w:rsidR="001D1759" w:rsidRPr="005E4A8E">
        <w:rPr>
          <w:rFonts w:ascii="Arial" w:hAnsi="Arial" w:cs="Arial"/>
          <w:i/>
          <w:sz w:val="20"/>
          <w:szCs w:val="20"/>
        </w:rPr>
        <w:t xml:space="preserve">aszkowski, </w:t>
      </w:r>
      <w:r w:rsidRPr="005E4A8E">
        <w:rPr>
          <w:rFonts w:ascii="Arial" w:hAnsi="Arial" w:cs="Arial"/>
          <w:i/>
          <w:sz w:val="20"/>
          <w:szCs w:val="20"/>
        </w:rPr>
        <w:t xml:space="preserve">President and Chief Executive Officer, Canadian Vintners Association </w:t>
      </w:r>
    </w:p>
    <w:p w14:paraId="76479388" w14:textId="77777777" w:rsidR="00FB18EF" w:rsidRPr="005E4A8E" w:rsidRDefault="00FB18EF" w:rsidP="00FB18EF">
      <w:pPr>
        <w:pStyle w:val="NoSpacing1"/>
        <w:rPr>
          <w:rFonts w:ascii="Arial" w:hAnsi="Arial" w:cs="Arial"/>
          <w:sz w:val="20"/>
          <w:szCs w:val="20"/>
        </w:rPr>
      </w:pPr>
    </w:p>
    <w:p w14:paraId="32F3C251" w14:textId="77777777" w:rsidR="00FB18EF" w:rsidRPr="005E4A8E" w:rsidRDefault="00FB18EF" w:rsidP="00FB18EF">
      <w:pPr>
        <w:pStyle w:val="NoSpacing1"/>
        <w:rPr>
          <w:rFonts w:ascii="Arial" w:hAnsi="Arial" w:cs="Arial"/>
          <w:i/>
          <w:sz w:val="20"/>
          <w:szCs w:val="20"/>
        </w:rPr>
      </w:pPr>
      <w:r w:rsidRPr="005E4A8E">
        <w:rPr>
          <w:rFonts w:ascii="Arial" w:hAnsi="Arial" w:cs="Arial"/>
          <w:sz w:val="20"/>
          <w:szCs w:val="20"/>
        </w:rPr>
        <w:t xml:space="preserve">Bilateral trade agreements were reviewed with a focus on the Canadian wine experience through the Canada-US Free Trade Agreement and the Canada-EU Wine and Spirits Agreement.  The benefits of bilateral trade agreements and how they support best regulatory practices, collaboration and a harmonized environment for free trade in wine were outlined. </w:t>
      </w:r>
    </w:p>
    <w:p w14:paraId="4C726548" w14:textId="77777777" w:rsidR="00012EFC" w:rsidRPr="005E4A8E" w:rsidRDefault="00012EFC" w:rsidP="002B17EE">
      <w:pPr>
        <w:pStyle w:val="NoSpacing1"/>
        <w:rPr>
          <w:rFonts w:ascii="Arial" w:hAnsi="Arial" w:cs="Arial"/>
          <w:b/>
          <w:sz w:val="20"/>
          <w:szCs w:val="20"/>
        </w:rPr>
      </w:pPr>
    </w:p>
    <w:p w14:paraId="5BA45C69" w14:textId="77777777" w:rsidR="002B17EE" w:rsidRPr="005E4A8E" w:rsidRDefault="002B17EE" w:rsidP="002B17EE">
      <w:pPr>
        <w:pStyle w:val="NoSpacing1"/>
        <w:rPr>
          <w:rFonts w:ascii="Arial" w:eastAsia="Times New Roman" w:hAnsi="Arial" w:cs="Arial"/>
          <w:sz w:val="20"/>
          <w:szCs w:val="20"/>
        </w:rPr>
      </w:pPr>
      <w:r w:rsidRPr="005E4A8E">
        <w:rPr>
          <w:rFonts w:ascii="Arial" w:hAnsi="Arial" w:cs="Arial"/>
          <w:b/>
          <w:sz w:val="20"/>
          <w:szCs w:val="20"/>
        </w:rPr>
        <w:t xml:space="preserve">Regulator-to-Regulator Session:  Sharing of Current Practices and Recent Developments.  </w:t>
      </w:r>
      <w:r w:rsidRPr="005E4A8E">
        <w:rPr>
          <w:rFonts w:ascii="Arial" w:hAnsi="Arial" w:cs="Arial"/>
          <w:sz w:val="20"/>
          <w:szCs w:val="20"/>
        </w:rPr>
        <w:t>Opening Statement by</w:t>
      </w:r>
      <w:r w:rsidRPr="005E4A8E">
        <w:rPr>
          <w:rFonts w:ascii="Arial" w:hAnsi="Arial" w:cs="Arial"/>
          <w:b/>
          <w:sz w:val="20"/>
          <w:szCs w:val="20"/>
        </w:rPr>
        <w:t xml:space="preserve"> </w:t>
      </w:r>
      <w:r w:rsidRPr="005E4A8E">
        <w:rPr>
          <w:rFonts w:ascii="Arial" w:hAnsi="Arial" w:cs="Arial"/>
          <w:sz w:val="20"/>
          <w:szCs w:val="20"/>
        </w:rPr>
        <w:t xml:space="preserve">Mr. William Foster, Assistant Administrator, Headquarters Operations, TTB.  Session Facilitated by </w:t>
      </w:r>
      <w:r w:rsidRPr="005E4A8E">
        <w:rPr>
          <w:rFonts w:ascii="Arial" w:eastAsia="Times New Roman" w:hAnsi="Arial" w:cs="Arial"/>
          <w:sz w:val="20"/>
          <w:szCs w:val="20"/>
        </w:rPr>
        <w:t>Dr. Gina L. Myers</w:t>
      </w:r>
    </w:p>
    <w:p w14:paraId="4B7A1F81" w14:textId="77777777" w:rsidR="002B17EE" w:rsidRPr="005E4A8E" w:rsidRDefault="002B17EE" w:rsidP="002B17EE">
      <w:pPr>
        <w:pStyle w:val="NoSpacing1"/>
        <w:rPr>
          <w:rFonts w:ascii="Arial" w:hAnsi="Arial" w:cs="Arial"/>
          <w:sz w:val="20"/>
          <w:szCs w:val="20"/>
        </w:rPr>
      </w:pPr>
    </w:p>
    <w:p w14:paraId="27177F44" w14:textId="77777777" w:rsidR="002B17EE" w:rsidRPr="005E4A8E" w:rsidRDefault="002B17EE" w:rsidP="002B17EE">
      <w:pPr>
        <w:pStyle w:val="NoSpacing1"/>
        <w:rPr>
          <w:rFonts w:ascii="Arial" w:hAnsi="Arial" w:cs="Arial"/>
          <w:sz w:val="20"/>
          <w:szCs w:val="20"/>
        </w:rPr>
      </w:pPr>
      <w:r w:rsidRPr="005E4A8E">
        <w:rPr>
          <w:rFonts w:ascii="Arial" w:hAnsi="Arial" w:cs="Arial"/>
          <w:sz w:val="20"/>
          <w:szCs w:val="20"/>
        </w:rPr>
        <w:t>The key themes from day one of the APEC WRF were reviewed:</w:t>
      </w:r>
    </w:p>
    <w:p w14:paraId="4B7A20A7" w14:textId="77777777" w:rsidR="002B17EE" w:rsidRPr="005E4A8E" w:rsidRDefault="002B17EE" w:rsidP="00A95C71">
      <w:pPr>
        <w:pStyle w:val="NoSpacing1"/>
        <w:numPr>
          <w:ilvl w:val="0"/>
          <w:numId w:val="8"/>
        </w:numPr>
        <w:rPr>
          <w:rFonts w:ascii="Arial" w:hAnsi="Arial" w:cs="Arial"/>
          <w:sz w:val="20"/>
          <w:szCs w:val="20"/>
        </w:rPr>
      </w:pPr>
      <w:r w:rsidRPr="005E4A8E">
        <w:rPr>
          <w:rFonts w:ascii="Arial" w:hAnsi="Arial" w:cs="Arial"/>
          <w:sz w:val="20"/>
          <w:szCs w:val="20"/>
        </w:rPr>
        <w:t>conformity in wine labeling</w:t>
      </w:r>
    </w:p>
    <w:p w14:paraId="2743956A" w14:textId="77777777" w:rsidR="002B17EE" w:rsidRPr="005E4A8E" w:rsidRDefault="002B17EE" w:rsidP="00A95C71">
      <w:pPr>
        <w:pStyle w:val="NoSpacing1"/>
        <w:numPr>
          <w:ilvl w:val="0"/>
          <w:numId w:val="8"/>
        </w:numPr>
        <w:rPr>
          <w:rFonts w:ascii="Arial" w:hAnsi="Arial" w:cs="Arial"/>
          <w:sz w:val="20"/>
          <w:szCs w:val="20"/>
        </w:rPr>
      </w:pPr>
      <w:r w:rsidRPr="005E4A8E">
        <w:rPr>
          <w:rFonts w:ascii="Arial" w:hAnsi="Arial" w:cs="Arial"/>
          <w:sz w:val="20"/>
          <w:szCs w:val="20"/>
        </w:rPr>
        <w:t>need for better regulations at lower costs</w:t>
      </w:r>
    </w:p>
    <w:p w14:paraId="66C7C8D0" w14:textId="77777777" w:rsidR="002B17EE" w:rsidRPr="005E4A8E" w:rsidRDefault="002B17EE" w:rsidP="00A95C71">
      <w:pPr>
        <w:pStyle w:val="NoSpacing1"/>
        <w:numPr>
          <w:ilvl w:val="0"/>
          <w:numId w:val="8"/>
        </w:numPr>
        <w:rPr>
          <w:rFonts w:ascii="Arial" w:hAnsi="Arial" w:cs="Arial"/>
          <w:sz w:val="20"/>
          <w:szCs w:val="20"/>
        </w:rPr>
      </w:pPr>
      <w:r w:rsidRPr="005E4A8E">
        <w:rPr>
          <w:rFonts w:ascii="Arial" w:hAnsi="Arial" w:cs="Arial"/>
          <w:sz w:val="20"/>
          <w:szCs w:val="20"/>
        </w:rPr>
        <w:t>balance between commercial vs. government requirements</w:t>
      </w:r>
    </w:p>
    <w:p w14:paraId="196FD471" w14:textId="77777777" w:rsidR="002B17EE" w:rsidRPr="005E4A8E" w:rsidRDefault="002B17EE" w:rsidP="00A95C71">
      <w:pPr>
        <w:pStyle w:val="NoSpacing1"/>
        <w:numPr>
          <w:ilvl w:val="0"/>
          <w:numId w:val="8"/>
        </w:numPr>
        <w:rPr>
          <w:rFonts w:ascii="Arial" w:hAnsi="Arial" w:cs="Arial"/>
          <w:sz w:val="20"/>
          <w:szCs w:val="20"/>
        </w:rPr>
      </w:pPr>
      <w:r w:rsidRPr="005E4A8E">
        <w:rPr>
          <w:rFonts w:ascii="Arial" w:hAnsi="Arial" w:cs="Arial"/>
          <w:sz w:val="20"/>
          <w:szCs w:val="20"/>
        </w:rPr>
        <w:t>need for intergovernmental organizations to cooperate</w:t>
      </w:r>
    </w:p>
    <w:p w14:paraId="7235B6B5" w14:textId="77777777" w:rsidR="002B17EE" w:rsidRPr="005E4A8E" w:rsidRDefault="002B17EE" w:rsidP="00A95C71">
      <w:pPr>
        <w:pStyle w:val="NoSpacing1"/>
        <w:numPr>
          <w:ilvl w:val="0"/>
          <w:numId w:val="8"/>
        </w:numPr>
        <w:rPr>
          <w:rFonts w:ascii="Arial" w:hAnsi="Arial" w:cs="Arial"/>
          <w:sz w:val="20"/>
          <w:szCs w:val="20"/>
        </w:rPr>
      </w:pPr>
      <w:r w:rsidRPr="005E4A8E">
        <w:rPr>
          <w:rFonts w:ascii="Arial" w:hAnsi="Arial" w:cs="Arial"/>
          <w:sz w:val="20"/>
          <w:szCs w:val="20"/>
        </w:rPr>
        <w:t xml:space="preserve">sharing of economy points of contact for the wine sector </w:t>
      </w:r>
    </w:p>
    <w:p w14:paraId="11AF3EC9" w14:textId="77777777" w:rsidR="002B17EE" w:rsidRPr="005E4A8E" w:rsidRDefault="002B17EE" w:rsidP="00A95C71">
      <w:pPr>
        <w:pStyle w:val="NoSpacing1"/>
        <w:numPr>
          <w:ilvl w:val="0"/>
          <w:numId w:val="8"/>
        </w:numPr>
        <w:rPr>
          <w:rFonts w:ascii="Arial" w:hAnsi="Arial" w:cs="Arial"/>
          <w:sz w:val="20"/>
          <w:szCs w:val="20"/>
        </w:rPr>
      </w:pPr>
      <w:r w:rsidRPr="005E4A8E">
        <w:rPr>
          <w:rFonts w:ascii="Arial" w:hAnsi="Arial" w:cs="Arial"/>
          <w:sz w:val="20"/>
          <w:szCs w:val="20"/>
        </w:rPr>
        <w:t xml:space="preserve">use of </w:t>
      </w:r>
      <w:r w:rsidR="00885D9C" w:rsidRPr="005E4A8E">
        <w:rPr>
          <w:rFonts w:ascii="Arial" w:hAnsi="Arial" w:cs="Arial"/>
          <w:sz w:val="20"/>
          <w:szCs w:val="20"/>
        </w:rPr>
        <w:t>C</w:t>
      </w:r>
      <w:r w:rsidRPr="005E4A8E">
        <w:rPr>
          <w:rFonts w:ascii="Arial" w:hAnsi="Arial" w:cs="Arial"/>
          <w:sz w:val="20"/>
          <w:szCs w:val="20"/>
        </w:rPr>
        <w:t>odex standards for a model of certifications</w:t>
      </w:r>
    </w:p>
    <w:p w14:paraId="0B085068" w14:textId="77777777" w:rsidR="002B17EE" w:rsidRPr="005E4A8E" w:rsidRDefault="002B17EE" w:rsidP="00A95C71">
      <w:pPr>
        <w:pStyle w:val="NoSpacing1"/>
        <w:numPr>
          <w:ilvl w:val="0"/>
          <w:numId w:val="8"/>
        </w:numPr>
        <w:rPr>
          <w:rFonts w:ascii="Arial" w:hAnsi="Arial" w:cs="Arial"/>
          <w:sz w:val="20"/>
          <w:szCs w:val="20"/>
        </w:rPr>
      </w:pPr>
      <w:r w:rsidRPr="005E4A8E">
        <w:rPr>
          <w:rFonts w:ascii="Arial" w:hAnsi="Arial" w:cs="Arial"/>
          <w:sz w:val="20"/>
          <w:szCs w:val="20"/>
        </w:rPr>
        <w:t xml:space="preserve">trust needed to move away from certifications towards mutual recognition </w:t>
      </w:r>
    </w:p>
    <w:p w14:paraId="59015FC6" w14:textId="77777777" w:rsidR="002B17EE" w:rsidRPr="005E4A8E" w:rsidRDefault="002B17EE" w:rsidP="00A95C71">
      <w:pPr>
        <w:pStyle w:val="NoSpacing1"/>
        <w:numPr>
          <w:ilvl w:val="0"/>
          <w:numId w:val="8"/>
        </w:numPr>
        <w:rPr>
          <w:rFonts w:ascii="Arial" w:hAnsi="Arial" w:cs="Arial"/>
          <w:sz w:val="20"/>
          <w:szCs w:val="20"/>
        </w:rPr>
      </w:pPr>
      <w:r w:rsidRPr="005E4A8E">
        <w:rPr>
          <w:rFonts w:ascii="Arial" w:hAnsi="Arial" w:cs="Arial"/>
          <w:sz w:val="20"/>
          <w:szCs w:val="20"/>
        </w:rPr>
        <w:t xml:space="preserve">sharing of technical assistance </w:t>
      </w:r>
    </w:p>
    <w:p w14:paraId="24C41F66" w14:textId="77777777" w:rsidR="002B17EE" w:rsidRPr="005E4A8E" w:rsidRDefault="002B17EE" w:rsidP="00A95C71">
      <w:pPr>
        <w:pStyle w:val="NoSpacing1"/>
        <w:numPr>
          <w:ilvl w:val="0"/>
          <w:numId w:val="8"/>
        </w:numPr>
        <w:rPr>
          <w:rFonts w:ascii="Arial" w:hAnsi="Arial" w:cs="Arial"/>
          <w:sz w:val="20"/>
          <w:szCs w:val="20"/>
        </w:rPr>
      </w:pPr>
      <w:r w:rsidRPr="005E4A8E">
        <w:rPr>
          <w:rFonts w:ascii="Arial" w:hAnsi="Arial" w:cs="Arial"/>
          <w:sz w:val="20"/>
          <w:szCs w:val="20"/>
        </w:rPr>
        <w:t>use of electronic certificates</w:t>
      </w:r>
    </w:p>
    <w:p w14:paraId="12F5582F" w14:textId="77777777" w:rsidR="002B17EE" w:rsidRPr="005E4A8E" w:rsidRDefault="002B17EE" w:rsidP="00A95C71">
      <w:pPr>
        <w:pStyle w:val="NoSpacing1"/>
        <w:numPr>
          <w:ilvl w:val="0"/>
          <w:numId w:val="8"/>
        </w:numPr>
        <w:rPr>
          <w:rFonts w:ascii="Arial" w:hAnsi="Arial" w:cs="Arial"/>
          <w:sz w:val="20"/>
          <w:szCs w:val="20"/>
        </w:rPr>
      </w:pPr>
      <w:r w:rsidRPr="005E4A8E">
        <w:rPr>
          <w:rFonts w:ascii="Arial" w:hAnsi="Arial" w:cs="Arial"/>
          <w:sz w:val="20"/>
          <w:szCs w:val="20"/>
        </w:rPr>
        <w:lastRenderedPageBreak/>
        <w:t>need for a clear understanding of why multiple certificates are needed</w:t>
      </w:r>
    </w:p>
    <w:p w14:paraId="6944CB87" w14:textId="77777777" w:rsidR="002B17EE" w:rsidRPr="005E4A8E" w:rsidRDefault="002B17EE" w:rsidP="002B17EE">
      <w:pPr>
        <w:pStyle w:val="NoSpacing1"/>
        <w:rPr>
          <w:rFonts w:ascii="Arial" w:hAnsi="Arial" w:cs="Arial"/>
          <w:sz w:val="20"/>
          <w:szCs w:val="20"/>
        </w:rPr>
      </w:pPr>
    </w:p>
    <w:p w14:paraId="0F40ECB0" w14:textId="77777777" w:rsidR="002B17EE" w:rsidRPr="005E4A8E" w:rsidRDefault="002B17EE" w:rsidP="002B17EE">
      <w:pPr>
        <w:pStyle w:val="NoSpacing1"/>
        <w:rPr>
          <w:rFonts w:ascii="Arial" w:hAnsi="Arial" w:cs="Arial"/>
          <w:sz w:val="20"/>
          <w:szCs w:val="20"/>
        </w:rPr>
      </w:pPr>
      <w:r w:rsidRPr="005E4A8E">
        <w:rPr>
          <w:rFonts w:ascii="Arial" w:hAnsi="Arial" w:cs="Arial"/>
          <w:sz w:val="20"/>
          <w:szCs w:val="20"/>
        </w:rPr>
        <w:t>Regulators were asked to identify the number one issue concerning the regulation of wine in their economy:</w:t>
      </w:r>
    </w:p>
    <w:p w14:paraId="48C4CBF7" w14:textId="77777777" w:rsidR="002B17EE" w:rsidRPr="005E4A8E" w:rsidRDefault="002B17EE" w:rsidP="00A95C71">
      <w:pPr>
        <w:pStyle w:val="NoSpacing1"/>
        <w:numPr>
          <w:ilvl w:val="0"/>
          <w:numId w:val="9"/>
        </w:numPr>
        <w:rPr>
          <w:rFonts w:ascii="Arial" w:hAnsi="Arial" w:cs="Arial"/>
          <w:sz w:val="20"/>
          <w:szCs w:val="20"/>
        </w:rPr>
      </w:pPr>
      <w:r w:rsidRPr="005E4A8E">
        <w:rPr>
          <w:rFonts w:ascii="Arial" w:hAnsi="Arial" w:cs="Arial"/>
          <w:sz w:val="20"/>
          <w:szCs w:val="20"/>
        </w:rPr>
        <w:t xml:space="preserve">outdated wine regulations that need to be reviewed and updated. </w:t>
      </w:r>
    </w:p>
    <w:p w14:paraId="40D1AD21" w14:textId="77777777" w:rsidR="002B17EE" w:rsidRPr="005E4A8E" w:rsidRDefault="002B17EE" w:rsidP="00A95C71">
      <w:pPr>
        <w:pStyle w:val="NoSpacing1"/>
        <w:numPr>
          <w:ilvl w:val="0"/>
          <w:numId w:val="9"/>
        </w:numPr>
        <w:rPr>
          <w:rFonts w:ascii="Arial" w:hAnsi="Arial" w:cs="Arial"/>
          <w:sz w:val="20"/>
          <w:szCs w:val="20"/>
        </w:rPr>
      </w:pPr>
      <w:r w:rsidRPr="005E4A8E">
        <w:rPr>
          <w:rFonts w:ascii="Arial" w:hAnsi="Arial" w:cs="Arial"/>
          <w:sz w:val="20"/>
          <w:szCs w:val="20"/>
        </w:rPr>
        <w:t>inadequate staff dedicated to food and wine regulations.</w:t>
      </w:r>
    </w:p>
    <w:p w14:paraId="46EBA221" w14:textId="77777777" w:rsidR="002B17EE" w:rsidRPr="005E4A8E" w:rsidRDefault="002B17EE" w:rsidP="00A95C71">
      <w:pPr>
        <w:pStyle w:val="NoSpacing1"/>
        <w:numPr>
          <w:ilvl w:val="0"/>
          <w:numId w:val="9"/>
        </w:numPr>
        <w:rPr>
          <w:rFonts w:ascii="Arial" w:hAnsi="Arial" w:cs="Arial"/>
          <w:sz w:val="20"/>
          <w:szCs w:val="20"/>
        </w:rPr>
      </w:pPr>
      <w:r w:rsidRPr="005E4A8E">
        <w:rPr>
          <w:rFonts w:ascii="Arial" w:hAnsi="Arial" w:cs="Arial"/>
          <w:sz w:val="20"/>
          <w:szCs w:val="20"/>
        </w:rPr>
        <w:t>inability to offer documents in English</w:t>
      </w:r>
    </w:p>
    <w:p w14:paraId="58B7AF58" w14:textId="77777777" w:rsidR="002B17EE" w:rsidRPr="005E4A8E" w:rsidRDefault="002B17EE" w:rsidP="00A95C71">
      <w:pPr>
        <w:pStyle w:val="NoSpacing1"/>
        <w:numPr>
          <w:ilvl w:val="0"/>
          <w:numId w:val="9"/>
        </w:numPr>
        <w:rPr>
          <w:rFonts w:ascii="Arial" w:hAnsi="Arial" w:cs="Arial"/>
          <w:sz w:val="20"/>
          <w:szCs w:val="20"/>
        </w:rPr>
      </w:pPr>
      <w:r w:rsidRPr="005E4A8E">
        <w:rPr>
          <w:rFonts w:ascii="Arial" w:hAnsi="Arial" w:cs="Arial"/>
          <w:sz w:val="20"/>
          <w:szCs w:val="20"/>
        </w:rPr>
        <w:t>lack of confidence that exporting economies’ controls are secure</w:t>
      </w:r>
    </w:p>
    <w:p w14:paraId="19CE9744" w14:textId="77777777" w:rsidR="002B17EE" w:rsidRPr="005E4A8E" w:rsidRDefault="002B17EE" w:rsidP="00A95C71">
      <w:pPr>
        <w:pStyle w:val="NoSpacing1"/>
        <w:numPr>
          <w:ilvl w:val="0"/>
          <w:numId w:val="9"/>
        </w:numPr>
        <w:rPr>
          <w:rFonts w:ascii="Arial" w:hAnsi="Arial" w:cs="Arial"/>
          <w:sz w:val="20"/>
          <w:szCs w:val="20"/>
        </w:rPr>
      </w:pPr>
      <w:r w:rsidRPr="005E4A8E">
        <w:rPr>
          <w:rFonts w:ascii="Arial" w:hAnsi="Arial" w:cs="Arial"/>
          <w:sz w:val="20"/>
          <w:szCs w:val="20"/>
        </w:rPr>
        <w:t>need to move away from a model of 100% inspection to a risk-managed approach</w:t>
      </w:r>
    </w:p>
    <w:p w14:paraId="258DCC71" w14:textId="77777777" w:rsidR="002B17EE" w:rsidRPr="005E4A8E" w:rsidRDefault="002B17EE" w:rsidP="00A95C71">
      <w:pPr>
        <w:pStyle w:val="NoSpacing1"/>
        <w:numPr>
          <w:ilvl w:val="0"/>
          <w:numId w:val="9"/>
        </w:numPr>
        <w:rPr>
          <w:rFonts w:ascii="Arial" w:hAnsi="Arial" w:cs="Arial"/>
          <w:sz w:val="20"/>
          <w:szCs w:val="20"/>
        </w:rPr>
      </w:pPr>
      <w:r w:rsidRPr="005E4A8E">
        <w:rPr>
          <w:rFonts w:ascii="Arial" w:hAnsi="Arial" w:cs="Arial"/>
          <w:sz w:val="20"/>
          <w:szCs w:val="20"/>
        </w:rPr>
        <w:t xml:space="preserve">developing countries lack lab capacity and are </w:t>
      </w:r>
      <w:r w:rsidR="00885D9C" w:rsidRPr="005E4A8E">
        <w:rPr>
          <w:rFonts w:ascii="Arial" w:hAnsi="Arial" w:cs="Arial"/>
          <w:sz w:val="20"/>
          <w:szCs w:val="20"/>
        </w:rPr>
        <w:t>reliant</w:t>
      </w:r>
      <w:r w:rsidRPr="005E4A8E">
        <w:rPr>
          <w:rFonts w:ascii="Arial" w:hAnsi="Arial" w:cs="Arial"/>
          <w:sz w:val="20"/>
          <w:szCs w:val="20"/>
        </w:rPr>
        <w:t xml:space="preserve"> on exporting economies’ controls</w:t>
      </w:r>
    </w:p>
    <w:p w14:paraId="4BE8E27E" w14:textId="77777777" w:rsidR="002B17EE" w:rsidRPr="005E4A8E" w:rsidRDefault="002B17EE" w:rsidP="00A95C71">
      <w:pPr>
        <w:pStyle w:val="NoSpacing1"/>
        <w:numPr>
          <w:ilvl w:val="0"/>
          <w:numId w:val="9"/>
        </w:numPr>
        <w:rPr>
          <w:rFonts w:ascii="Arial" w:hAnsi="Arial" w:cs="Arial"/>
          <w:sz w:val="20"/>
          <w:szCs w:val="20"/>
        </w:rPr>
      </w:pPr>
      <w:r w:rsidRPr="005E4A8E">
        <w:rPr>
          <w:rFonts w:ascii="Arial" w:hAnsi="Arial" w:cs="Arial"/>
          <w:sz w:val="20"/>
          <w:szCs w:val="20"/>
        </w:rPr>
        <w:t>need for assistance in addressing public health concerns regarding the abuse of wine and other alcoholic beverages</w:t>
      </w:r>
    </w:p>
    <w:p w14:paraId="4045D4A4" w14:textId="77777777" w:rsidR="002B17EE" w:rsidRPr="005E4A8E" w:rsidRDefault="002B17EE" w:rsidP="00A95C71">
      <w:pPr>
        <w:pStyle w:val="NoSpacing1"/>
        <w:numPr>
          <w:ilvl w:val="0"/>
          <w:numId w:val="9"/>
        </w:numPr>
        <w:rPr>
          <w:rFonts w:ascii="Arial" w:hAnsi="Arial" w:cs="Arial"/>
          <w:sz w:val="20"/>
          <w:szCs w:val="20"/>
        </w:rPr>
      </w:pPr>
      <w:r w:rsidRPr="005E4A8E">
        <w:rPr>
          <w:rFonts w:ascii="Arial" w:hAnsi="Arial" w:cs="Arial"/>
          <w:sz w:val="20"/>
          <w:szCs w:val="20"/>
        </w:rPr>
        <w:t>need to ensure that imported and exported products comply with applicable requirements</w:t>
      </w:r>
    </w:p>
    <w:p w14:paraId="51FB5B63" w14:textId="77777777" w:rsidR="002B17EE" w:rsidRPr="005E4A8E" w:rsidRDefault="002B17EE" w:rsidP="002B17EE">
      <w:pPr>
        <w:pStyle w:val="NoSpacing1"/>
        <w:ind w:left="720"/>
        <w:rPr>
          <w:rFonts w:ascii="Arial" w:hAnsi="Arial" w:cs="Arial"/>
          <w:sz w:val="20"/>
          <w:szCs w:val="20"/>
        </w:rPr>
      </w:pPr>
    </w:p>
    <w:p w14:paraId="32EDCD91" w14:textId="77777777" w:rsidR="002B17EE" w:rsidRPr="005E4A8E" w:rsidRDefault="002B17EE" w:rsidP="002B17EE">
      <w:pPr>
        <w:pStyle w:val="NoSpacing1"/>
        <w:rPr>
          <w:rFonts w:ascii="Arial" w:hAnsi="Arial" w:cs="Arial"/>
          <w:sz w:val="20"/>
          <w:szCs w:val="20"/>
        </w:rPr>
      </w:pPr>
      <w:r w:rsidRPr="005E4A8E">
        <w:rPr>
          <w:rFonts w:ascii="Arial" w:hAnsi="Arial" w:cs="Arial"/>
          <w:sz w:val="20"/>
          <w:szCs w:val="20"/>
        </w:rPr>
        <w:t>Regulators were asked what they need to address the key regulatory issues in their economies:</w:t>
      </w:r>
    </w:p>
    <w:p w14:paraId="67F3FD07" w14:textId="77777777" w:rsidR="002B17EE" w:rsidRPr="005E4A8E" w:rsidRDefault="002B17EE" w:rsidP="00A95C71">
      <w:pPr>
        <w:pStyle w:val="NoSpacing1"/>
        <w:numPr>
          <w:ilvl w:val="0"/>
          <w:numId w:val="10"/>
        </w:numPr>
        <w:rPr>
          <w:rFonts w:ascii="Arial" w:hAnsi="Arial" w:cs="Arial"/>
          <w:sz w:val="20"/>
          <w:szCs w:val="20"/>
        </w:rPr>
      </w:pPr>
      <w:r w:rsidRPr="005E4A8E">
        <w:rPr>
          <w:rFonts w:ascii="Arial" w:hAnsi="Arial" w:cs="Arial"/>
          <w:sz w:val="20"/>
          <w:szCs w:val="20"/>
        </w:rPr>
        <w:t xml:space="preserve">increased information sharing among economies </w:t>
      </w:r>
    </w:p>
    <w:p w14:paraId="163EEF14" w14:textId="77777777" w:rsidR="002B17EE" w:rsidRPr="005E4A8E" w:rsidRDefault="002B17EE" w:rsidP="00A95C71">
      <w:pPr>
        <w:pStyle w:val="NoSpacing1"/>
        <w:numPr>
          <w:ilvl w:val="0"/>
          <w:numId w:val="10"/>
        </w:numPr>
        <w:rPr>
          <w:rFonts w:ascii="Arial" w:hAnsi="Arial" w:cs="Arial"/>
          <w:sz w:val="20"/>
          <w:szCs w:val="20"/>
        </w:rPr>
      </w:pPr>
      <w:r w:rsidRPr="005E4A8E">
        <w:rPr>
          <w:rFonts w:ascii="Arial" w:hAnsi="Arial" w:cs="Arial"/>
          <w:sz w:val="20"/>
          <w:szCs w:val="20"/>
        </w:rPr>
        <w:t>capacity building for risk management systems and support in developing new regulations</w:t>
      </w:r>
    </w:p>
    <w:p w14:paraId="07669D93" w14:textId="77777777" w:rsidR="002B17EE" w:rsidRPr="005E4A8E" w:rsidRDefault="002B17EE" w:rsidP="00A95C71">
      <w:pPr>
        <w:pStyle w:val="NoSpacing1"/>
        <w:numPr>
          <w:ilvl w:val="0"/>
          <w:numId w:val="10"/>
        </w:numPr>
        <w:rPr>
          <w:rFonts w:ascii="Arial" w:hAnsi="Arial" w:cs="Arial"/>
          <w:sz w:val="20"/>
          <w:szCs w:val="20"/>
        </w:rPr>
      </w:pPr>
      <w:r w:rsidRPr="005E4A8E">
        <w:rPr>
          <w:rFonts w:ascii="Arial" w:hAnsi="Arial" w:cs="Arial"/>
          <w:sz w:val="20"/>
          <w:szCs w:val="20"/>
        </w:rPr>
        <w:t>increased participation in the OIV and WWTG in consultation with industry</w:t>
      </w:r>
    </w:p>
    <w:p w14:paraId="06B7B293" w14:textId="77777777" w:rsidR="002B17EE" w:rsidRPr="005E4A8E" w:rsidRDefault="002B17EE" w:rsidP="00A95C71">
      <w:pPr>
        <w:pStyle w:val="NoSpacing1"/>
        <w:numPr>
          <w:ilvl w:val="0"/>
          <w:numId w:val="10"/>
        </w:numPr>
        <w:rPr>
          <w:rFonts w:ascii="Arial" w:hAnsi="Arial" w:cs="Arial"/>
          <w:sz w:val="20"/>
          <w:szCs w:val="20"/>
        </w:rPr>
      </w:pPr>
      <w:r w:rsidRPr="005E4A8E">
        <w:rPr>
          <w:rFonts w:ascii="Arial" w:hAnsi="Arial" w:cs="Arial"/>
          <w:sz w:val="20"/>
          <w:szCs w:val="20"/>
        </w:rPr>
        <w:t>guidance on how to test for pesticides in wine</w:t>
      </w:r>
    </w:p>
    <w:p w14:paraId="504A5E49" w14:textId="77777777" w:rsidR="002B17EE" w:rsidRPr="005E4A8E" w:rsidRDefault="002B17EE" w:rsidP="00A95C71">
      <w:pPr>
        <w:pStyle w:val="NoSpacing1"/>
        <w:numPr>
          <w:ilvl w:val="0"/>
          <w:numId w:val="10"/>
        </w:numPr>
        <w:rPr>
          <w:rFonts w:ascii="Arial" w:hAnsi="Arial" w:cs="Arial"/>
          <w:sz w:val="20"/>
          <w:szCs w:val="20"/>
        </w:rPr>
      </w:pPr>
      <w:r w:rsidRPr="005E4A8E">
        <w:rPr>
          <w:rFonts w:ascii="Arial" w:hAnsi="Arial" w:cs="Arial"/>
          <w:sz w:val="20"/>
          <w:szCs w:val="20"/>
        </w:rPr>
        <w:t>movement toward standardization of wine testing among economies</w:t>
      </w:r>
    </w:p>
    <w:p w14:paraId="500FE8CA" w14:textId="77777777" w:rsidR="002B17EE" w:rsidRPr="005E4A8E" w:rsidRDefault="002B17EE" w:rsidP="002B17EE">
      <w:pPr>
        <w:pStyle w:val="NoSpacing1"/>
        <w:rPr>
          <w:rFonts w:ascii="Arial" w:hAnsi="Arial" w:cs="Arial"/>
          <w:sz w:val="20"/>
          <w:szCs w:val="20"/>
        </w:rPr>
      </w:pPr>
    </w:p>
    <w:p w14:paraId="0D627829" w14:textId="77777777" w:rsidR="002B17EE" w:rsidRPr="005E4A8E" w:rsidRDefault="002B17EE" w:rsidP="002B17EE">
      <w:pPr>
        <w:pStyle w:val="NoSpacing1"/>
        <w:rPr>
          <w:rFonts w:ascii="Arial" w:hAnsi="Arial" w:cs="Arial"/>
          <w:sz w:val="20"/>
          <w:szCs w:val="20"/>
        </w:rPr>
      </w:pPr>
      <w:r w:rsidRPr="005E4A8E">
        <w:rPr>
          <w:rFonts w:ascii="Arial" w:hAnsi="Arial" w:cs="Arial"/>
          <w:sz w:val="20"/>
          <w:szCs w:val="20"/>
        </w:rPr>
        <w:t>Regulators suggested the following next steps:</w:t>
      </w:r>
    </w:p>
    <w:p w14:paraId="15A86A27" w14:textId="77777777" w:rsidR="002B17EE" w:rsidRPr="005E4A8E" w:rsidRDefault="002B17EE" w:rsidP="00A95C71">
      <w:pPr>
        <w:pStyle w:val="NoSpacing1"/>
        <w:numPr>
          <w:ilvl w:val="0"/>
          <w:numId w:val="11"/>
        </w:numPr>
        <w:rPr>
          <w:rFonts w:ascii="Arial" w:hAnsi="Arial" w:cs="Arial"/>
          <w:sz w:val="20"/>
          <w:szCs w:val="20"/>
        </w:rPr>
      </w:pPr>
      <w:r w:rsidRPr="005E4A8E">
        <w:rPr>
          <w:rFonts w:ascii="Arial" w:hAnsi="Arial" w:cs="Arial"/>
          <w:sz w:val="20"/>
          <w:szCs w:val="20"/>
        </w:rPr>
        <w:t xml:space="preserve">continue the dialogue either through electronic meetings or in person </w:t>
      </w:r>
    </w:p>
    <w:p w14:paraId="78FD28EA" w14:textId="77777777" w:rsidR="002B17EE" w:rsidRPr="005E4A8E" w:rsidRDefault="002B17EE" w:rsidP="00A95C71">
      <w:pPr>
        <w:pStyle w:val="NoSpacing1"/>
        <w:numPr>
          <w:ilvl w:val="0"/>
          <w:numId w:val="11"/>
        </w:numPr>
        <w:rPr>
          <w:rFonts w:ascii="Arial" w:hAnsi="Arial" w:cs="Arial"/>
          <w:sz w:val="20"/>
          <w:szCs w:val="20"/>
        </w:rPr>
      </w:pPr>
      <w:r w:rsidRPr="005E4A8E">
        <w:rPr>
          <w:rFonts w:ascii="Arial" w:hAnsi="Arial" w:cs="Arial"/>
          <w:sz w:val="20"/>
          <w:szCs w:val="20"/>
        </w:rPr>
        <w:t>matrix of analytical methodologies be compiled</w:t>
      </w:r>
    </w:p>
    <w:p w14:paraId="2317958A" w14:textId="77777777" w:rsidR="002B17EE" w:rsidRPr="005E4A8E" w:rsidRDefault="002B17EE" w:rsidP="00A95C71">
      <w:pPr>
        <w:pStyle w:val="NoSpacing1"/>
        <w:numPr>
          <w:ilvl w:val="0"/>
          <w:numId w:val="11"/>
        </w:numPr>
        <w:rPr>
          <w:rFonts w:ascii="Arial" w:hAnsi="Arial" w:cs="Arial"/>
          <w:sz w:val="20"/>
          <w:szCs w:val="20"/>
        </w:rPr>
      </w:pPr>
      <w:r w:rsidRPr="005E4A8E">
        <w:rPr>
          <w:rFonts w:ascii="Arial" w:hAnsi="Arial" w:cs="Arial"/>
          <w:sz w:val="20"/>
          <w:szCs w:val="20"/>
        </w:rPr>
        <w:t>matrix of labeling and enological practices be compiled</w:t>
      </w:r>
    </w:p>
    <w:p w14:paraId="5AD0A4C6" w14:textId="77777777" w:rsidR="005E4A8E" w:rsidRDefault="005E4A8E" w:rsidP="001D1759">
      <w:pPr>
        <w:pStyle w:val="NoSpacing1"/>
        <w:rPr>
          <w:rFonts w:ascii="Arial" w:hAnsi="Arial" w:cs="Arial"/>
          <w:b/>
          <w:sz w:val="20"/>
          <w:szCs w:val="20"/>
        </w:rPr>
      </w:pPr>
    </w:p>
    <w:p w14:paraId="114E3160" w14:textId="77777777" w:rsidR="008E3369" w:rsidRPr="005E4A8E" w:rsidRDefault="008E3369" w:rsidP="001D1759">
      <w:pPr>
        <w:pStyle w:val="NoSpacing1"/>
        <w:rPr>
          <w:rFonts w:ascii="Arial" w:hAnsi="Arial" w:cs="Arial"/>
          <w:sz w:val="20"/>
          <w:szCs w:val="20"/>
        </w:rPr>
      </w:pPr>
      <w:r w:rsidRPr="005E4A8E">
        <w:rPr>
          <w:rFonts w:ascii="Arial" w:hAnsi="Arial" w:cs="Arial"/>
          <w:b/>
          <w:sz w:val="20"/>
          <w:szCs w:val="20"/>
        </w:rPr>
        <w:t>The Role of Laboratory Testing in Wine Regulation and Trade Panel</w:t>
      </w:r>
      <w:r w:rsidRPr="005E4A8E">
        <w:rPr>
          <w:rFonts w:ascii="Arial" w:hAnsi="Arial" w:cs="Arial"/>
          <w:sz w:val="20"/>
          <w:szCs w:val="20"/>
        </w:rPr>
        <w:t>.  Moderator:</w:t>
      </w:r>
      <w:r w:rsidR="001D1759" w:rsidRPr="005E4A8E">
        <w:rPr>
          <w:rFonts w:ascii="Arial" w:hAnsi="Arial" w:cs="Arial"/>
          <w:sz w:val="20"/>
          <w:szCs w:val="20"/>
        </w:rPr>
        <w:t xml:space="preserve"> </w:t>
      </w:r>
      <w:r w:rsidRPr="005E4A8E">
        <w:rPr>
          <w:rFonts w:ascii="Arial" w:hAnsi="Arial" w:cs="Arial"/>
          <w:sz w:val="20"/>
          <w:szCs w:val="20"/>
        </w:rPr>
        <w:t xml:space="preserve">Dr. Greg Hodson, Chief Technical Regulatory Liaison, E&amp;J Gallo Winery </w:t>
      </w:r>
    </w:p>
    <w:p w14:paraId="7FC8E37F" w14:textId="77777777" w:rsidR="001D1759" w:rsidRPr="005E4A8E" w:rsidRDefault="001D1759" w:rsidP="001D1759">
      <w:pPr>
        <w:pStyle w:val="NoSpacing1"/>
        <w:rPr>
          <w:rFonts w:ascii="Arial" w:hAnsi="Arial" w:cs="Arial"/>
          <w:sz w:val="20"/>
          <w:szCs w:val="20"/>
        </w:rPr>
      </w:pPr>
    </w:p>
    <w:p w14:paraId="58CC851B" w14:textId="77777777" w:rsidR="008E3369" w:rsidRPr="005E4A8E" w:rsidRDefault="008E3369" w:rsidP="00A95C71">
      <w:pPr>
        <w:pStyle w:val="NoSpacing1"/>
        <w:numPr>
          <w:ilvl w:val="0"/>
          <w:numId w:val="16"/>
        </w:numPr>
        <w:rPr>
          <w:rFonts w:ascii="Arial" w:hAnsi="Arial" w:cs="Arial"/>
          <w:i/>
          <w:sz w:val="20"/>
          <w:szCs w:val="20"/>
        </w:rPr>
      </w:pPr>
      <w:r w:rsidRPr="005E4A8E">
        <w:rPr>
          <w:rFonts w:ascii="Arial" w:hAnsi="Arial" w:cs="Arial"/>
          <w:i/>
          <w:sz w:val="20"/>
          <w:szCs w:val="20"/>
        </w:rPr>
        <w:t xml:space="preserve">Mr. Warren Stone, Director of Science Policy, Compliance &amp; Inspection, Grocery Manufacturers Association </w:t>
      </w:r>
    </w:p>
    <w:p w14:paraId="391B5452" w14:textId="77777777" w:rsidR="00012EFC" w:rsidRPr="005E4A8E" w:rsidRDefault="00012EFC" w:rsidP="001D1759">
      <w:pPr>
        <w:pStyle w:val="NoSpacing1"/>
        <w:rPr>
          <w:rFonts w:ascii="Arial" w:hAnsi="Arial" w:cs="Arial"/>
          <w:sz w:val="20"/>
          <w:szCs w:val="20"/>
        </w:rPr>
      </w:pPr>
    </w:p>
    <w:p w14:paraId="687E9CC3" w14:textId="77777777" w:rsidR="008E3369" w:rsidRPr="005E4A8E" w:rsidRDefault="008E3369" w:rsidP="001D1759">
      <w:pPr>
        <w:pStyle w:val="NoSpacing1"/>
        <w:rPr>
          <w:rFonts w:ascii="Arial" w:hAnsi="Arial" w:cs="Arial"/>
          <w:sz w:val="20"/>
          <w:szCs w:val="20"/>
        </w:rPr>
      </w:pPr>
      <w:r w:rsidRPr="005E4A8E">
        <w:rPr>
          <w:rFonts w:ascii="Arial" w:hAnsi="Arial" w:cs="Arial"/>
          <w:sz w:val="20"/>
          <w:szCs w:val="20"/>
        </w:rPr>
        <w:t xml:space="preserve">The efficacy of product testing effectiveness as both a control and verification tool was discussed.  Statistical realities surrounding product testing and examples of protocols and general approaches that serve to make testing plans effective, useful and flexible were detailed.  Testing, in itself, is not a control measure.   Economies were discouraged from using testing as a measure to control product safety.  </w:t>
      </w:r>
    </w:p>
    <w:p w14:paraId="5C50CFE9" w14:textId="77777777" w:rsidR="001D1759" w:rsidRPr="005E4A8E" w:rsidRDefault="001D1759" w:rsidP="001D1759">
      <w:pPr>
        <w:pStyle w:val="NoSpacing1"/>
        <w:rPr>
          <w:rFonts w:ascii="Arial" w:hAnsi="Arial" w:cs="Arial"/>
          <w:sz w:val="20"/>
          <w:szCs w:val="20"/>
        </w:rPr>
      </w:pPr>
    </w:p>
    <w:p w14:paraId="23450D24" w14:textId="77777777" w:rsidR="008E3369" w:rsidRPr="005E4A8E" w:rsidRDefault="008E3369" w:rsidP="00A95C71">
      <w:pPr>
        <w:pStyle w:val="NoSpacing1"/>
        <w:numPr>
          <w:ilvl w:val="0"/>
          <w:numId w:val="15"/>
        </w:numPr>
        <w:rPr>
          <w:rFonts w:ascii="Arial" w:hAnsi="Arial" w:cs="Arial"/>
          <w:i/>
          <w:sz w:val="20"/>
          <w:szCs w:val="20"/>
        </w:rPr>
      </w:pPr>
      <w:r w:rsidRPr="005E4A8E">
        <w:rPr>
          <w:rFonts w:ascii="Arial" w:hAnsi="Arial" w:cs="Arial"/>
          <w:i/>
          <w:sz w:val="20"/>
          <w:szCs w:val="20"/>
        </w:rPr>
        <w:t xml:space="preserve">Dr. Abdul Mabud, Director Scientific Services Division, TTB </w:t>
      </w:r>
    </w:p>
    <w:p w14:paraId="2B15DC58" w14:textId="77777777" w:rsidR="00012EFC" w:rsidRPr="005E4A8E" w:rsidRDefault="00012EFC" w:rsidP="001D1759">
      <w:pPr>
        <w:pStyle w:val="NoSpacing1"/>
        <w:rPr>
          <w:rFonts w:ascii="Arial" w:hAnsi="Arial" w:cs="Arial"/>
          <w:sz w:val="20"/>
          <w:szCs w:val="20"/>
        </w:rPr>
      </w:pPr>
    </w:p>
    <w:p w14:paraId="00B2F3A4" w14:textId="77777777" w:rsidR="008E3369" w:rsidRPr="005E4A8E" w:rsidRDefault="008E3369" w:rsidP="001D1759">
      <w:pPr>
        <w:pStyle w:val="NoSpacing1"/>
        <w:rPr>
          <w:rFonts w:ascii="Arial" w:hAnsi="Arial" w:cs="Arial"/>
          <w:sz w:val="20"/>
          <w:szCs w:val="20"/>
        </w:rPr>
      </w:pPr>
      <w:r w:rsidRPr="005E4A8E">
        <w:rPr>
          <w:rFonts w:ascii="Arial" w:hAnsi="Arial" w:cs="Arial"/>
          <w:sz w:val="20"/>
          <w:szCs w:val="20"/>
        </w:rPr>
        <w:t xml:space="preserve">The role of the U.S. Alcohol and Tobacco Tax and Trade Bureau (TTB) and its dual missions to collect all revenue on alcohol and tobacco products, and protect the public by preventing consumer deception, ensuring compliance of federal commodity, safety and distribution laws was outlined.  Major TTB programs were discussed including the Alcohol Beverage Sampling Program, the Pesticide Monitoring Program and the Product Integrity Program.  TTB operates four state of the art labs in the United States: three in Maryland and one in Walnut Creek, Ca. </w:t>
      </w:r>
    </w:p>
    <w:p w14:paraId="6C397B9E" w14:textId="77777777" w:rsidR="001D1759" w:rsidRPr="005E4A8E" w:rsidRDefault="001D1759" w:rsidP="001D1759">
      <w:pPr>
        <w:pStyle w:val="NoSpacing1"/>
        <w:rPr>
          <w:rFonts w:ascii="Arial" w:hAnsi="Arial" w:cs="Arial"/>
          <w:i/>
          <w:sz w:val="20"/>
          <w:szCs w:val="20"/>
        </w:rPr>
      </w:pPr>
    </w:p>
    <w:p w14:paraId="74486092" w14:textId="77777777" w:rsidR="008E3369" w:rsidRPr="005E4A8E" w:rsidRDefault="008E3369" w:rsidP="00A95C71">
      <w:pPr>
        <w:pStyle w:val="NoSpacing1"/>
        <w:numPr>
          <w:ilvl w:val="0"/>
          <w:numId w:val="14"/>
        </w:numPr>
        <w:rPr>
          <w:rFonts w:ascii="Arial" w:hAnsi="Arial" w:cs="Arial"/>
          <w:i/>
          <w:sz w:val="20"/>
          <w:szCs w:val="20"/>
        </w:rPr>
      </w:pPr>
      <w:r w:rsidRPr="005E4A8E">
        <w:rPr>
          <w:rFonts w:ascii="Arial" w:hAnsi="Arial" w:cs="Arial"/>
          <w:i/>
          <w:sz w:val="20"/>
          <w:szCs w:val="20"/>
        </w:rPr>
        <w:t xml:space="preserve">Mr. Gordon Burns, ETS Laboratories </w:t>
      </w:r>
    </w:p>
    <w:p w14:paraId="17ADB64E" w14:textId="77777777" w:rsidR="00012EFC" w:rsidRPr="005E4A8E" w:rsidRDefault="00012EFC" w:rsidP="001D1759">
      <w:pPr>
        <w:pStyle w:val="NoSpacing1"/>
        <w:rPr>
          <w:rFonts w:ascii="Arial" w:hAnsi="Arial" w:cs="Arial"/>
          <w:sz w:val="20"/>
          <w:szCs w:val="20"/>
        </w:rPr>
      </w:pPr>
    </w:p>
    <w:p w14:paraId="7E378C26" w14:textId="77777777" w:rsidR="008E3369" w:rsidRPr="005E4A8E" w:rsidRDefault="008E3369" w:rsidP="001D1759">
      <w:pPr>
        <w:pStyle w:val="NoSpacing1"/>
        <w:rPr>
          <w:rFonts w:ascii="Arial" w:hAnsi="Arial" w:cs="Arial"/>
          <w:sz w:val="20"/>
          <w:szCs w:val="20"/>
        </w:rPr>
      </w:pPr>
      <w:r w:rsidRPr="005E4A8E">
        <w:rPr>
          <w:rFonts w:ascii="Arial" w:hAnsi="Arial" w:cs="Arial"/>
          <w:sz w:val="20"/>
          <w:szCs w:val="20"/>
        </w:rPr>
        <w:t xml:space="preserve">Laboratory accreditation provides a flexible alternative to legislation, facilitates world trade, and can be used as an efficient monitoring tool for governments and regulators.   </w:t>
      </w:r>
      <w:r w:rsidRPr="005E4A8E">
        <w:rPr>
          <w:rFonts w:ascii="Arial" w:hAnsi="Arial" w:cs="Arial"/>
          <w:sz w:val="20"/>
          <w:szCs w:val="20"/>
        </w:rPr>
        <w:br/>
        <w:t xml:space="preserve">For businesses, accreditation provides greater acceptance of products opening up market access, minimizes product failures and recalls, and avoids costs associated with multiple testing.  Consumers can also benefit from products tested in accredited labs through increased public confidence in product quality.  Accreditation provides assurance that laboratory results are: </w:t>
      </w:r>
      <w:r w:rsidR="00DF4DDC" w:rsidRPr="005E4A8E">
        <w:rPr>
          <w:rFonts w:ascii="Arial" w:hAnsi="Arial" w:cs="Arial"/>
          <w:sz w:val="20"/>
          <w:szCs w:val="20"/>
        </w:rPr>
        <w:t>a</w:t>
      </w:r>
      <w:r w:rsidRPr="005E4A8E">
        <w:rPr>
          <w:rFonts w:ascii="Arial" w:hAnsi="Arial" w:cs="Arial"/>
          <w:sz w:val="20"/>
          <w:szCs w:val="20"/>
        </w:rPr>
        <w:t xml:space="preserve">ccurate, traceable, reproducible, uniform, and defensible. </w:t>
      </w:r>
    </w:p>
    <w:p w14:paraId="34088863" w14:textId="77777777" w:rsidR="001D1759" w:rsidRPr="005E4A8E" w:rsidRDefault="001D1759" w:rsidP="001D1759">
      <w:pPr>
        <w:pStyle w:val="NoSpacing1"/>
        <w:ind w:left="720"/>
        <w:rPr>
          <w:rFonts w:ascii="Arial" w:hAnsi="Arial" w:cs="Arial"/>
          <w:i/>
          <w:sz w:val="20"/>
          <w:szCs w:val="20"/>
        </w:rPr>
      </w:pPr>
    </w:p>
    <w:p w14:paraId="46651E19" w14:textId="77777777" w:rsidR="008E3369" w:rsidRPr="005E4A8E" w:rsidRDefault="008E3369" w:rsidP="00A95C71">
      <w:pPr>
        <w:pStyle w:val="NoSpacing1"/>
        <w:numPr>
          <w:ilvl w:val="0"/>
          <w:numId w:val="13"/>
        </w:numPr>
        <w:rPr>
          <w:rFonts w:ascii="Arial" w:hAnsi="Arial" w:cs="Arial"/>
          <w:i/>
          <w:sz w:val="20"/>
          <w:szCs w:val="20"/>
        </w:rPr>
      </w:pPr>
      <w:r w:rsidRPr="005E4A8E">
        <w:rPr>
          <w:rFonts w:ascii="Arial" w:hAnsi="Arial" w:cs="Arial"/>
          <w:i/>
          <w:sz w:val="20"/>
          <w:szCs w:val="20"/>
        </w:rPr>
        <w:t xml:space="preserve">Dr. George Soleas, </w:t>
      </w:r>
      <w:r w:rsidRPr="005E4A8E">
        <w:rPr>
          <w:rFonts w:ascii="Arial" w:hAnsi="Arial" w:cs="Arial"/>
          <w:bCs/>
          <w:i/>
          <w:sz w:val="20"/>
          <w:szCs w:val="20"/>
        </w:rPr>
        <w:t>Senior VP, Logistics and Quality Assurance,</w:t>
      </w:r>
      <w:r w:rsidRPr="005E4A8E">
        <w:rPr>
          <w:rFonts w:ascii="Arial" w:hAnsi="Arial" w:cs="Arial"/>
          <w:i/>
          <w:sz w:val="20"/>
          <w:szCs w:val="20"/>
        </w:rPr>
        <w:t xml:space="preserve"> Liquor Control Board of Ontario </w:t>
      </w:r>
    </w:p>
    <w:p w14:paraId="304080A5" w14:textId="77777777" w:rsidR="008E3369" w:rsidRPr="005E4A8E" w:rsidRDefault="008E3369" w:rsidP="001D1759">
      <w:pPr>
        <w:pStyle w:val="NoSpacing1"/>
        <w:rPr>
          <w:rFonts w:ascii="Arial" w:hAnsi="Arial" w:cs="Arial"/>
          <w:sz w:val="20"/>
          <w:szCs w:val="20"/>
        </w:rPr>
      </w:pPr>
    </w:p>
    <w:p w14:paraId="3594126F" w14:textId="77777777" w:rsidR="001D1759" w:rsidRPr="005E4A8E" w:rsidRDefault="008E3369" w:rsidP="001D1759">
      <w:pPr>
        <w:pStyle w:val="NoSpacing1"/>
        <w:rPr>
          <w:rFonts w:ascii="Arial" w:hAnsi="Arial" w:cs="Arial"/>
          <w:sz w:val="20"/>
          <w:szCs w:val="20"/>
        </w:rPr>
      </w:pPr>
      <w:r w:rsidRPr="005E4A8E">
        <w:rPr>
          <w:rFonts w:ascii="Arial" w:hAnsi="Arial" w:cs="Arial"/>
          <w:sz w:val="20"/>
          <w:szCs w:val="20"/>
        </w:rPr>
        <w:t>An overview of the testing and certification of alcoholic beverages by the Liquor Control Board of Canada was discussed.  Products are organoleptically evaluated, chemically tested and certified by the LCBO’s ISO-accredited Quality Assurance Department. Approximately 500,000 individual tests are performed on more than 23,000 products annually.</w:t>
      </w:r>
    </w:p>
    <w:p w14:paraId="0C93F3A9" w14:textId="77777777" w:rsidR="008E3369" w:rsidRPr="005E4A8E" w:rsidRDefault="008E3369" w:rsidP="00A95C71">
      <w:pPr>
        <w:pStyle w:val="NoSpacing1"/>
        <w:numPr>
          <w:ilvl w:val="0"/>
          <w:numId w:val="13"/>
        </w:numPr>
        <w:rPr>
          <w:rFonts w:ascii="Arial" w:hAnsi="Arial" w:cs="Arial"/>
          <w:i/>
          <w:sz w:val="20"/>
          <w:szCs w:val="20"/>
        </w:rPr>
      </w:pPr>
      <w:r w:rsidRPr="005E4A8E">
        <w:rPr>
          <w:rFonts w:ascii="Arial" w:hAnsi="Arial" w:cs="Arial"/>
          <w:i/>
          <w:sz w:val="20"/>
          <w:szCs w:val="20"/>
        </w:rPr>
        <w:t xml:space="preserve">Mr. Steve Guy, General Manager, Compliance and Trade, Wine Australia  </w:t>
      </w:r>
    </w:p>
    <w:p w14:paraId="22F74AE0" w14:textId="77777777" w:rsidR="008E3369" w:rsidRPr="005E4A8E" w:rsidRDefault="008E3369" w:rsidP="001D1759">
      <w:pPr>
        <w:pStyle w:val="NoSpacing1"/>
        <w:rPr>
          <w:rFonts w:ascii="Arial" w:hAnsi="Arial" w:cs="Arial"/>
          <w:sz w:val="20"/>
          <w:szCs w:val="20"/>
        </w:rPr>
      </w:pPr>
    </w:p>
    <w:p w14:paraId="04003ADC" w14:textId="77777777" w:rsidR="008E3369" w:rsidRPr="005E4A8E" w:rsidRDefault="008E3369" w:rsidP="001D1759">
      <w:pPr>
        <w:pStyle w:val="NoSpacing1"/>
        <w:rPr>
          <w:rFonts w:ascii="Arial" w:hAnsi="Arial" w:cs="Arial"/>
          <w:sz w:val="20"/>
          <w:szCs w:val="20"/>
        </w:rPr>
      </w:pPr>
      <w:r w:rsidRPr="005E4A8E">
        <w:rPr>
          <w:rFonts w:ascii="Arial" w:hAnsi="Arial" w:cs="Arial"/>
          <w:sz w:val="20"/>
          <w:szCs w:val="20"/>
        </w:rPr>
        <w:t>The laws and systems that Australia has adopted in order to ensure the quality of Australian wine was outlined.  It emphasizes the benefits of assuring quality at the source, rather than through inspection at the destination, and advocates that, in those cases where analytical testing proves necessary, test reports from facilities accredited to international standards provide the highest degree of confidence.  It was noted that most micro-organisms and all pathogenic micro-organisms cannot live in wine due to the ethanol content, making wine a relatively low risk consumer product.</w:t>
      </w:r>
    </w:p>
    <w:p w14:paraId="17DEC857" w14:textId="77777777" w:rsidR="005E4A8E" w:rsidRDefault="005E4A8E" w:rsidP="008E3369">
      <w:pPr>
        <w:pStyle w:val="NoSpacing"/>
        <w:rPr>
          <w:rFonts w:ascii="Arial" w:hAnsi="Arial" w:cs="Arial"/>
          <w:b/>
          <w:sz w:val="20"/>
          <w:szCs w:val="20"/>
        </w:rPr>
      </w:pPr>
    </w:p>
    <w:p w14:paraId="58B870D8" w14:textId="77777777" w:rsidR="008E3369" w:rsidRPr="005E4A8E" w:rsidRDefault="008E3369" w:rsidP="008E3369">
      <w:pPr>
        <w:pStyle w:val="NoSpacing"/>
        <w:rPr>
          <w:rFonts w:ascii="Arial" w:hAnsi="Arial" w:cs="Arial"/>
          <w:b/>
          <w:sz w:val="20"/>
          <w:szCs w:val="20"/>
        </w:rPr>
      </w:pPr>
      <w:r w:rsidRPr="005E4A8E">
        <w:rPr>
          <w:rFonts w:ascii="Arial" w:hAnsi="Arial" w:cs="Arial"/>
          <w:b/>
          <w:sz w:val="20"/>
          <w:szCs w:val="20"/>
        </w:rPr>
        <w:t xml:space="preserve">Regulator Tour of the TTB Compliance Laboratory </w:t>
      </w:r>
    </w:p>
    <w:p w14:paraId="36CDF3FF" w14:textId="77777777" w:rsidR="008E3369" w:rsidRPr="005E4A8E" w:rsidRDefault="008E3369" w:rsidP="008E3369">
      <w:pPr>
        <w:pStyle w:val="NoSpacing"/>
        <w:rPr>
          <w:rFonts w:ascii="Arial" w:hAnsi="Arial" w:cs="Arial"/>
          <w:sz w:val="20"/>
          <w:szCs w:val="20"/>
        </w:rPr>
      </w:pPr>
      <w:r w:rsidRPr="005E4A8E">
        <w:rPr>
          <w:rFonts w:ascii="Arial" w:hAnsi="Arial" w:cs="Arial"/>
          <w:sz w:val="20"/>
          <w:szCs w:val="20"/>
        </w:rPr>
        <w:t>Approximately 40 APEC wine regulators visited the TTB Compliance Laboratory in Walnut Creek on September 19, 2011.  The Compliance Laboratory provides support to TTB through product integrity testing and by monitoring regulatory compliance of both beverage and non</w:t>
      </w:r>
      <w:r w:rsidR="00DF4DDC" w:rsidRPr="005E4A8E">
        <w:rPr>
          <w:rFonts w:ascii="Arial" w:hAnsi="Arial" w:cs="Arial"/>
          <w:sz w:val="20"/>
          <w:szCs w:val="20"/>
        </w:rPr>
        <w:t>-</w:t>
      </w:r>
      <w:r w:rsidRPr="005E4A8E">
        <w:rPr>
          <w:rFonts w:ascii="Arial" w:hAnsi="Arial" w:cs="Arial"/>
          <w:sz w:val="20"/>
          <w:szCs w:val="20"/>
        </w:rPr>
        <w:t>beverage alcohol products.</w:t>
      </w:r>
      <w:r w:rsidRPr="005E4A8E">
        <w:rPr>
          <w:rFonts w:ascii="Arial" w:hAnsi="Arial" w:cs="Arial"/>
          <w:sz w:val="20"/>
          <w:szCs w:val="20"/>
        </w:rPr>
        <w:br/>
      </w:r>
      <w:r w:rsidRPr="005E4A8E">
        <w:rPr>
          <w:rFonts w:ascii="Arial" w:hAnsi="Arial" w:cs="Arial"/>
          <w:sz w:val="20"/>
          <w:szCs w:val="20"/>
        </w:rPr>
        <w:br/>
        <w:t>TTB provided an overview of the role the Compliance Laboratory plays in regulating wine, including compliance monitoring of beverage and non-beverage products submitted as the result of product integrity inspections, the Alcohol Beverage Sampling Program to check products in the retail market for regulatory compliance, sulfur dioxide waiver requests for wines, special testing for the evaluation of new wine making processes, mycotoxin contamination in wine and malt beverages, and on-site technical assistance to the regulated industries and to TTB investigators.</w:t>
      </w:r>
      <w:r w:rsidRPr="005E4A8E">
        <w:rPr>
          <w:rFonts w:ascii="Arial" w:hAnsi="Arial" w:cs="Arial"/>
          <w:sz w:val="20"/>
          <w:szCs w:val="20"/>
        </w:rPr>
        <w:br/>
      </w:r>
      <w:r w:rsidRPr="005E4A8E">
        <w:rPr>
          <w:rFonts w:ascii="Arial" w:hAnsi="Arial" w:cs="Arial"/>
          <w:sz w:val="20"/>
          <w:szCs w:val="20"/>
        </w:rPr>
        <w:br/>
        <w:t>Regulators from the APEC economies participated in a question-and-answer session with TTB chemists on their work in regulating the US wine market.</w:t>
      </w:r>
    </w:p>
    <w:p w14:paraId="16165C33" w14:textId="77777777" w:rsidR="000D087E" w:rsidRPr="005E4A8E" w:rsidRDefault="000D087E" w:rsidP="000D087E">
      <w:pPr>
        <w:rPr>
          <w:rFonts w:ascii="Arial" w:hAnsi="Arial" w:cs="Arial"/>
          <w:color w:val="000000"/>
          <w:sz w:val="20"/>
          <w:szCs w:val="20"/>
        </w:rPr>
      </w:pPr>
      <w:r w:rsidRPr="005E4A8E">
        <w:rPr>
          <w:rFonts w:ascii="Arial" w:hAnsi="Arial" w:cs="Arial"/>
          <w:b/>
          <w:color w:val="000000"/>
          <w:sz w:val="20"/>
          <w:szCs w:val="20"/>
        </w:rPr>
        <w:t>Acknowledgements</w:t>
      </w:r>
    </w:p>
    <w:p w14:paraId="72DBCCD8" w14:textId="77777777" w:rsidR="000D087E" w:rsidRPr="005E4A8E" w:rsidRDefault="000D087E" w:rsidP="000D087E">
      <w:pPr>
        <w:rPr>
          <w:rFonts w:ascii="Arial" w:hAnsi="Arial" w:cs="Arial"/>
          <w:color w:val="000000"/>
          <w:sz w:val="20"/>
          <w:szCs w:val="20"/>
        </w:rPr>
      </w:pPr>
      <w:r w:rsidRPr="005E4A8E">
        <w:rPr>
          <w:rFonts w:ascii="Arial" w:hAnsi="Arial" w:cs="Arial"/>
          <w:color w:val="000000"/>
          <w:sz w:val="20"/>
          <w:szCs w:val="20"/>
        </w:rPr>
        <w:t>Special thanks to Tom LaFaille (Wine Institute), Julia Doherty (USTR), Gail Davis, (TTB), Mari Kirrane (TTB), Jennifer Stradtman (USDOC/ITA), and Jamie Ferman (USDOC/ITA) for their significant contributions to this project.</w:t>
      </w:r>
    </w:p>
    <w:p w14:paraId="754E5CC6" w14:textId="77777777" w:rsidR="00BC6FD9" w:rsidRPr="005E4A8E" w:rsidRDefault="00BC6FD9" w:rsidP="00BC6FD9">
      <w:pPr>
        <w:pStyle w:val="NoSpacing1"/>
        <w:rPr>
          <w:rFonts w:ascii="Arial" w:hAnsi="Arial" w:cs="Arial"/>
          <w:sz w:val="20"/>
          <w:szCs w:val="20"/>
        </w:rPr>
      </w:pPr>
    </w:p>
    <w:sectPr w:rsidR="00BC6FD9" w:rsidRPr="005E4A8E" w:rsidSect="005E4A8E">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83A5B8" w14:textId="77777777" w:rsidR="00201B59" w:rsidRDefault="00201B59">
      <w:pPr>
        <w:spacing w:after="0" w:line="240" w:lineRule="auto"/>
      </w:pPr>
      <w:r>
        <w:separator/>
      </w:r>
    </w:p>
  </w:endnote>
  <w:endnote w:type="continuationSeparator" w:id="0">
    <w:p w14:paraId="4A51D634" w14:textId="77777777" w:rsidR="00201B59" w:rsidRDefault="00201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00000003" w:usb1="00000000" w:usb2="00000000" w:usb3="00000000" w:csb0="00000001" w:csb1="00000000"/>
  </w:font>
  <w:font w:name="ヒラギノ角ゴ Pro W3">
    <w:altName w:val="Arial Unicode MS"/>
    <w:charset w:val="80"/>
    <w:family w:val="auto"/>
    <w:pitch w:val="variable"/>
    <w:sig w:usb0="00000001" w:usb1="08070000" w:usb2="01000417"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
    <w:altName w:val="MS PMincho"/>
    <w:panose1 w:val="00000000000000000000"/>
    <w:charset w:val="80"/>
    <w:family w:val="roman"/>
    <w:notTrueType/>
    <w:pitch w:val="fixed"/>
    <w:sig w:usb0="00000003" w:usb1="08070000" w:usb2="00000010" w:usb3="00000000" w:csb0="00020001"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E5667" w14:textId="77777777" w:rsidR="007C6361" w:rsidRPr="007F7525" w:rsidRDefault="007C6361" w:rsidP="00BC6FD9">
    <w:pPr>
      <w:pStyle w:val="Footer"/>
      <w:tabs>
        <w:tab w:val="clear" w:pos="4680"/>
        <w:tab w:val="clear" w:pos="9360"/>
        <w:tab w:val="left" w:pos="6120"/>
      </w:tabs>
      <w:rPr>
        <w:b/>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1F1475" w14:textId="77777777" w:rsidR="00201B59" w:rsidRDefault="00201B59">
      <w:pPr>
        <w:spacing w:after="0" w:line="240" w:lineRule="auto"/>
      </w:pPr>
      <w:r>
        <w:separator/>
      </w:r>
    </w:p>
  </w:footnote>
  <w:footnote w:type="continuationSeparator" w:id="0">
    <w:p w14:paraId="178CB323" w14:textId="77777777" w:rsidR="00201B59" w:rsidRDefault="00201B59">
      <w:pPr>
        <w:spacing w:after="0" w:line="240" w:lineRule="auto"/>
      </w:pPr>
      <w:r>
        <w:continuationSeparator/>
      </w:r>
    </w:p>
  </w:footnote>
  <w:footnote w:id="1">
    <w:p w14:paraId="3968D455" w14:textId="77777777" w:rsidR="007C6361" w:rsidRPr="00094B8C" w:rsidRDefault="007C6361" w:rsidP="00094B8C">
      <w:pPr>
        <w:pStyle w:val="NoSpacing1"/>
        <w:rPr>
          <w:rFonts w:ascii="Arial" w:hAnsi="Arial" w:cs="Arial"/>
          <w:sz w:val="18"/>
          <w:szCs w:val="18"/>
        </w:rPr>
      </w:pPr>
      <w:r w:rsidRPr="006E389D">
        <w:rPr>
          <w:rStyle w:val="FootnoteReference"/>
          <w:rFonts w:ascii="Arial" w:hAnsi="Arial" w:cs="Arial"/>
          <w:sz w:val="18"/>
          <w:szCs w:val="18"/>
        </w:rPr>
        <w:footnoteRef/>
      </w:r>
      <w:r w:rsidRPr="006E389D">
        <w:t xml:space="preserve"> </w:t>
      </w:r>
      <w:r w:rsidRPr="00094B8C">
        <w:rPr>
          <w:rFonts w:ascii="Arial" w:hAnsi="Arial" w:cs="Arial"/>
          <w:sz w:val="18"/>
          <w:szCs w:val="18"/>
        </w:rPr>
        <w:t>2008/SOM3/SCSC/003</w:t>
      </w:r>
    </w:p>
  </w:footnote>
  <w:footnote w:id="2">
    <w:p w14:paraId="05A69D92" w14:textId="77777777" w:rsidR="007C6361" w:rsidRPr="00094B8C" w:rsidRDefault="007C6361" w:rsidP="00094B8C">
      <w:pPr>
        <w:pStyle w:val="NoSpacing1"/>
        <w:rPr>
          <w:rFonts w:ascii="Arial" w:hAnsi="Arial" w:cs="Arial"/>
          <w:sz w:val="18"/>
          <w:szCs w:val="18"/>
        </w:rPr>
      </w:pPr>
      <w:r w:rsidRPr="00094B8C">
        <w:rPr>
          <w:rStyle w:val="FootnoteReference"/>
          <w:rFonts w:ascii="Arial" w:hAnsi="Arial" w:cs="Arial"/>
          <w:sz w:val="18"/>
          <w:szCs w:val="18"/>
          <w:vertAlign w:val="baseline"/>
        </w:rPr>
        <w:footnoteRef/>
      </w:r>
      <w:r w:rsidRPr="00094B8C">
        <w:rPr>
          <w:rFonts w:ascii="Arial" w:hAnsi="Arial" w:cs="Arial"/>
          <w:sz w:val="18"/>
          <w:szCs w:val="18"/>
        </w:rPr>
        <w:t xml:space="preserve"> Presentations from the APEC Wine Regulatory Forum are posted on the APEC Meeting Document Database and the Wine Institute website:  http://www.wineinstitute.org/APEC</w:t>
      </w:r>
    </w:p>
  </w:footnote>
  <w:footnote w:id="3">
    <w:p w14:paraId="63F79199" w14:textId="77777777" w:rsidR="007C6361" w:rsidRPr="00094B8C" w:rsidRDefault="007C6361" w:rsidP="00094B8C">
      <w:pPr>
        <w:pStyle w:val="NoSpacing1"/>
        <w:rPr>
          <w:rFonts w:ascii="Arial" w:hAnsi="Arial" w:cs="Arial"/>
          <w:sz w:val="18"/>
          <w:szCs w:val="18"/>
        </w:rPr>
      </w:pPr>
      <w:r w:rsidRPr="00094B8C">
        <w:rPr>
          <w:rStyle w:val="FootnoteReference"/>
          <w:rFonts w:ascii="Arial" w:hAnsi="Arial" w:cs="Arial"/>
          <w:sz w:val="18"/>
          <w:szCs w:val="18"/>
          <w:vertAlign w:val="baseline"/>
        </w:rPr>
        <w:footnoteRef/>
      </w:r>
      <w:r w:rsidRPr="00094B8C">
        <w:rPr>
          <w:rFonts w:ascii="Arial" w:hAnsi="Arial" w:cs="Arial"/>
          <w:sz w:val="18"/>
          <w:szCs w:val="18"/>
        </w:rPr>
        <w:t xml:space="preserve"> In agenda order: United States, </w:t>
      </w:r>
      <w:smartTag w:uri="urn:schemas-microsoft-com:office:smarttags" w:element="country-region">
        <w:r w:rsidRPr="00094B8C">
          <w:rPr>
            <w:rFonts w:ascii="Arial" w:hAnsi="Arial" w:cs="Arial"/>
            <w:sz w:val="18"/>
            <w:szCs w:val="18"/>
          </w:rPr>
          <w:t>New Zealand</w:t>
        </w:r>
      </w:smartTag>
      <w:r w:rsidRPr="00094B8C">
        <w:rPr>
          <w:rFonts w:ascii="Arial" w:hAnsi="Arial" w:cs="Arial"/>
          <w:sz w:val="18"/>
          <w:szCs w:val="18"/>
        </w:rPr>
        <w:t xml:space="preserve">, </w:t>
      </w:r>
      <w:smartTag w:uri="urn:schemas-microsoft-com:office:smarttags" w:element="country-region">
        <w:r w:rsidRPr="00094B8C">
          <w:rPr>
            <w:rFonts w:ascii="Arial" w:hAnsi="Arial" w:cs="Arial"/>
            <w:sz w:val="18"/>
            <w:szCs w:val="18"/>
          </w:rPr>
          <w:t>Australia</w:t>
        </w:r>
      </w:smartTag>
      <w:r w:rsidRPr="00094B8C">
        <w:rPr>
          <w:rFonts w:ascii="Arial" w:hAnsi="Arial" w:cs="Arial"/>
          <w:sz w:val="18"/>
          <w:szCs w:val="18"/>
        </w:rPr>
        <w:t xml:space="preserve">, </w:t>
      </w:r>
      <w:smartTag w:uri="urn:schemas-microsoft-com:office:smarttags" w:element="country-region">
        <w:r w:rsidRPr="00094B8C">
          <w:rPr>
            <w:rFonts w:ascii="Arial" w:hAnsi="Arial" w:cs="Arial"/>
            <w:sz w:val="18"/>
            <w:szCs w:val="18"/>
          </w:rPr>
          <w:t>Chile</w:t>
        </w:r>
      </w:smartTag>
      <w:r w:rsidRPr="00094B8C">
        <w:rPr>
          <w:rFonts w:ascii="Arial" w:hAnsi="Arial" w:cs="Arial"/>
          <w:sz w:val="18"/>
          <w:szCs w:val="18"/>
        </w:rPr>
        <w:t xml:space="preserve">, </w:t>
      </w:r>
      <w:smartTag w:uri="urn:schemas-microsoft-com:office:smarttags" w:element="country-region">
        <w:r w:rsidRPr="00094B8C">
          <w:rPr>
            <w:rFonts w:ascii="Arial" w:hAnsi="Arial" w:cs="Arial"/>
            <w:sz w:val="18"/>
            <w:szCs w:val="18"/>
          </w:rPr>
          <w:t>China</w:t>
        </w:r>
      </w:smartTag>
      <w:r w:rsidRPr="00094B8C">
        <w:rPr>
          <w:rFonts w:ascii="Arial" w:hAnsi="Arial" w:cs="Arial"/>
          <w:sz w:val="18"/>
          <w:szCs w:val="18"/>
        </w:rPr>
        <w:t xml:space="preserve">, </w:t>
      </w:r>
      <w:smartTag w:uri="urn:schemas-microsoft-com:office:smarttags" w:element="country-region">
        <w:r w:rsidRPr="00094B8C">
          <w:rPr>
            <w:rFonts w:ascii="Arial" w:hAnsi="Arial" w:cs="Arial"/>
            <w:sz w:val="18"/>
            <w:szCs w:val="18"/>
          </w:rPr>
          <w:t>Japan</w:t>
        </w:r>
      </w:smartTag>
      <w:r w:rsidRPr="00094B8C">
        <w:rPr>
          <w:rFonts w:ascii="Arial" w:hAnsi="Arial" w:cs="Arial"/>
          <w:sz w:val="18"/>
          <w:szCs w:val="18"/>
        </w:rPr>
        <w:t xml:space="preserve">, </w:t>
      </w:r>
      <w:smartTag w:uri="urn:schemas-microsoft-com:office:smarttags" w:element="country-region">
        <w:r w:rsidRPr="00094B8C">
          <w:rPr>
            <w:rFonts w:ascii="Arial" w:hAnsi="Arial" w:cs="Arial"/>
            <w:sz w:val="18"/>
            <w:szCs w:val="18"/>
          </w:rPr>
          <w:t>Korea</w:t>
        </w:r>
      </w:smartTag>
      <w:r w:rsidRPr="00094B8C">
        <w:rPr>
          <w:rFonts w:ascii="Arial" w:hAnsi="Arial" w:cs="Arial"/>
          <w:sz w:val="18"/>
          <w:szCs w:val="18"/>
        </w:rPr>
        <w:t xml:space="preserve">, </w:t>
      </w:r>
      <w:smartTag w:uri="urn:schemas-microsoft-com:office:smarttags" w:element="country-region">
        <w:r w:rsidRPr="00094B8C">
          <w:rPr>
            <w:rFonts w:ascii="Arial" w:hAnsi="Arial" w:cs="Arial"/>
            <w:sz w:val="18"/>
            <w:szCs w:val="18"/>
          </w:rPr>
          <w:t>Mexico</w:t>
        </w:r>
      </w:smartTag>
      <w:r w:rsidRPr="00094B8C">
        <w:rPr>
          <w:rFonts w:ascii="Arial" w:hAnsi="Arial" w:cs="Arial"/>
          <w:sz w:val="18"/>
          <w:szCs w:val="18"/>
        </w:rPr>
        <w:t xml:space="preserve">, </w:t>
      </w:r>
      <w:smartTag w:uri="urn:schemas-microsoft-com:office:smarttags" w:element="country-region">
        <w:r w:rsidRPr="00094B8C">
          <w:rPr>
            <w:rFonts w:ascii="Arial" w:hAnsi="Arial" w:cs="Arial"/>
            <w:sz w:val="18"/>
            <w:szCs w:val="18"/>
          </w:rPr>
          <w:t>Peru</w:t>
        </w:r>
      </w:smartTag>
      <w:r w:rsidRPr="00094B8C">
        <w:rPr>
          <w:rFonts w:ascii="Arial" w:hAnsi="Arial" w:cs="Arial"/>
          <w:sz w:val="18"/>
          <w:szCs w:val="18"/>
        </w:rPr>
        <w:t xml:space="preserve">, Chinese Taipei, </w:t>
      </w:r>
      <w:smartTag w:uri="urn:schemas-microsoft-com:office:smarttags" w:element="country-region">
        <w:r w:rsidRPr="00094B8C">
          <w:rPr>
            <w:rFonts w:ascii="Arial" w:hAnsi="Arial" w:cs="Arial"/>
            <w:sz w:val="18"/>
            <w:szCs w:val="18"/>
          </w:rPr>
          <w:t>Thailand</w:t>
        </w:r>
      </w:smartTag>
      <w:r w:rsidRPr="00094B8C">
        <w:rPr>
          <w:rFonts w:ascii="Arial" w:hAnsi="Arial" w:cs="Arial"/>
          <w:sz w:val="18"/>
          <w:szCs w:val="18"/>
        </w:rPr>
        <w:t xml:space="preserve">, and </w:t>
      </w:r>
      <w:smartTag w:uri="urn:schemas-microsoft-com:office:smarttags" w:element="place">
        <w:smartTag w:uri="urn:schemas-microsoft-com:office:smarttags" w:element="country-region">
          <w:r w:rsidRPr="00094B8C">
            <w:rPr>
              <w:rFonts w:ascii="Arial" w:hAnsi="Arial" w:cs="Arial"/>
              <w:sz w:val="18"/>
              <w:szCs w:val="18"/>
            </w:rPr>
            <w:t>Canada</w:t>
          </w:r>
        </w:smartTag>
      </w:smartTag>
      <w:r w:rsidRPr="00094B8C">
        <w:rPr>
          <w:rFonts w:ascii="Arial" w:hAnsi="Arial" w:cs="Arial"/>
          <w:sz w:val="18"/>
          <w:szCs w:val="18"/>
        </w:rPr>
        <w:t>.</w:t>
      </w:r>
    </w:p>
  </w:footnote>
  <w:footnote w:id="4">
    <w:p w14:paraId="2B999730" w14:textId="77777777" w:rsidR="007C6361" w:rsidRPr="00094B8C" w:rsidRDefault="007C6361" w:rsidP="00094B8C">
      <w:pPr>
        <w:pStyle w:val="NoSpacing1"/>
        <w:rPr>
          <w:rFonts w:ascii="Arial" w:hAnsi="Arial" w:cs="Arial"/>
          <w:sz w:val="18"/>
          <w:szCs w:val="18"/>
        </w:rPr>
      </w:pPr>
      <w:r w:rsidRPr="00094B8C">
        <w:rPr>
          <w:rStyle w:val="FootnoteReference"/>
          <w:rFonts w:ascii="Arial" w:hAnsi="Arial" w:cs="Arial"/>
          <w:sz w:val="18"/>
          <w:szCs w:val="18"/>
          <w:vertAlign w:val="baseline"/>
        </w:rPr>
        <w:footnoteRef/>
      </w:r>
      <w:r w:rsidRPr="00094B8C">
        <w:rPr>
          <w:rFonts w:ascii="Arial" w:hAnsi="Arial" w:cs="Arial"/>
          <w:sz w:val="18"/>
          <w:szCs w:val="18"/>
        </w:rPr>
        <w:t xml:space="preserve"> Wine data was taken from Mr. Jon A. FREDRIKSON’s presentati</w:t>
      </w:r>
      <w:r>
        <w:rPr>
          <w:rFonts w:ascii="Arial" w:hAnsi="Arial" w:cs="Arial"/>
          <w:sz w:val="18"/>
          <w:szCs w:val="18"/>
        </w:rPr>
        <w:t>on “Overview of APEC Wine Trade”.</w:t>
      </w:r>
      <w:r w:rsidRPr="00094B8C">
        <w:rPr>
          <w:rFonts w:ascii="Arial" w:hAnsi="Arial" w:cs="Arial"/>
          <w:sz w:val="18"/>
          <w:szCs w:val="18"/>
        </w:rPr>
        <w:t xml:space="preserve">   </w:t>
      </w:r>
    </w:p>
  </w:footnote>
  <w:footnote w:id="5">
    <w:p w14:paraId="3E49E8E6" w14:textId="77777777" w:rsidR="007C6361" w:rsidRDefault="007C6361" w:rsidP="00055AC3">
      <w:pPr>
        <w:pStyle w:val="NoSpacing1"/>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Key points from each presentation are summarized here.  For more information, refer to the complete presentations available on the APEC Document Database website and the Wine Institute website at: http://www.wineinstitute.org/APEC</w:t>
      </w:r>
    </w:p>
  </w:footnote>
  <w:footnote w:id="6">
    <w:p w14:paraId="34789EF0" w14:textId="77777777" w:rsidR="007C6361" w:rsidRPr="00A1085C" w:rsidRDefault="007C6361" w:rsidP="00FB18EF">
      <w:pPr>
        <w:pStyle w:val="NoSpacing1"/>
        <w:rPr>
          <w:rFonts w:ascii="Arial" w:hAnsi="Arial" w:cs="Arial"/>
          <w:sz w:val="18"/>
          <w:szCs w:val="18"/>
        </w:rPr>
      </w:pPr>
      <w:r w:rsidRPr="00A1085C">
        <w:rPr>
          <w:rStyle w:val="FootnoteReference"/>
          <w:rFonts w:ascii="Arial" w:hAnsi="Arial" w:cs="Arial"/>
          <w:sz w:val="18"/>
          <w:szCs w:val="18"/>
        </w:rPr>
        <w:footnoteRef/>
      </w:r>
      <w:r w:rsidRPr="00A1085C">
        <w:rPr>
          <w:rFonts w:ascii="Arial" w:hAnsi="Arial" w:cs="Arial"/>
          <w:sz w:val="18"/>
          <w:szCs w:val="18"/>
        </w:rPr>
        <w:t xml:space="preserve"> WWTG members are </w:t>
      </w:r>
      <w:smartTag w:uri="urn:schemas-microsoft-com:office:smarttags" w:element="country-region">
        <w:r w:rsidRPr="00A1085C">
          <w:rPr>
            <w:rFonts w:ascii="Arial" w:hAnsi="Arial" w:cs="Arial"/>
            <w:sz w:val="18"/>
            <w:szCs w:val="18"/>
          </w:rPr>
          <w:t>USA</w:t>
        </w:r>
      </w:smartTag>
      <w:r w:rsidRPr="00A1085C">
        <w:rPr>
          <w:rFonts w:ascii="Arial" w:hAnsi="Arial" w:cs="Arial"/>
          <w:sz w:val="18"/>
          <w:szCs w:val="18"/>
        </w:rPr>
        <w:t xml:space="preserve">, </w:t>
      </w:r>
      <w:smartTag w:uri="urn:schemas-microsoft-com:office:smarttags" w:element="country-region">
        <w:r w:rsidRPr="00A1085C">
          <w:rPr>
            <w:rFonts w:ascii="Arial" w:hAnsi="Arial" w:cs="Arial"/>
            <w:sz w:val="18"/>
            <w:szCs w:val="18"/>
          </w:rPr>
          <w:t>Argentina</w:t>
        </w:r>
      </w:smartTag>
      <w:r w:rsidRPr="00A1085C">
        <w:rPr>
          <w:rFonts w:ascii="Arial" w:hAnsi="Arial" w:cs="Arial"/>
          <w:sz w:val="18"/>
          <w:szCs w:val="18"/>
        </w:rPr>
        <w:t xml:space="preserve">, </w:t>
      </w:r>
      <w:smartTag w:uri="urn:schemas-microsoft-com:office:smarttags" w:element="country-region">
        <w:r w:rsidRPr="00A1085C">
          <w:rPr>
            <w:rFonts w:ascii="Arial" w:hAnsi="Arial" w:cs="Arial"/>
            <w:sz w:val="18"/>
            <w:szCs w:val="18"/>
          </w:rPr>
          <w:t>Australia</w:t>
        </w:r>
      </w:smartTag>
      <w:r w:rsidRPr="00A1085C">
        <w:rPr>
          <w:rFonts w:ascii="Arial" w:hAnsi="Arial" w:cs="Arial"/>
          <w:sz w:val="18"/>
          <w:szCs w:val="18"/>
        </w:rPr>
        <w:t xml:space="preserve">, </w:t>
      </w:r>
      <w:smartTag w:uri="urn:schemas-microsoft-com:office:smarttags" w:element="country-region">
        <w:r w:rsidRPr="00A1085C">
          <w:rPr>
            <w:rFonts w:ascii="Arial" w:hAnsi="Arial" w:cs="Arial"/>
            <w:sz w:val="18"/>
            <w:szCs w:val="18"/>
          </w:rPr>
          <w:t>Chile</w:t>
        </w:r>
      </w:smartTag>
      <w:r w:rsidRPr="00A1085C">
        <w:rPr>
          <w:rFonts w:ascii="Arial" w:hAnsi="Arial" w:cs="Arial"/>
          <w:sz w:val="18"/>
          <w:szCs w:val="18"/>
        </w:rPr>
        <w:t xml:space="preserve">, </w:t>
      </w:r>
      <w:smartTag w:uri="urn:schemas-microsoft-com:office:smarttags" w:element="country-region">
        <w:r w:rsidRPr="00A1085C">
          <w:rPr>
            <w:rFonts w:ascii="Arial" w:hAnsi="Arial" w:cs="Arial"/>
            <w:sz w:val="18"/>
            <w:szCs w:val="18"/>
          </w:rPr>
          <w:t>Canada</w:t>
        </w:r>
      </w:smartTag>
      <w:r w:rsidRPr="00A1085C">
        <w:rPr>
          <w:rFonts w:ascii="Arial" w:hAnsi="Arial" w:cs="Arial"/>
          <w:sz w:val="18"/>
          <w:szCs w:val="18"/>
        </w:rPr>
        <w:t xml:space="preserve">, </w:t>
      </w:r>
      <w:smartTag w:uri="urn:schemas-microsoft-com:office:smarttags" w:element="country-region">
        <w:r w:rsidRPr="00A1085C">
          <w:rPr>
            <w:rFonts w:ascii="Arial" w:hAnsi="Arial" w:cs="Arial"/>
            <w:sz w:val="18"/>
            <w:szCs w:val="18"/>
          </w:rPr>
          <w:t>Georgia</w:t>
        </w:r>
      </w:smartTag>
      <w:r w:rsidRPr="00A1085C">
        <w:rPr>
          <w:rFonts w:ascii="Arial" w:hAnsi="Arial" w:cs="Arial"/>
          <w:sz w:val="18"/>
          <w:szCs w:val="18"/>
        </w:rPr>
        <w:t xml:space="preserve">, </w:t>
      </w:r>
      <w:smartTag w:uri="urn:schemas-microsoft-com:office:smarttags" w:element="country-region">
        <w:r w:rsidRPr="00A1085C">
          <w:rPr>
            <w:rFonts w:ascii="Arial" w:hAnsi="Arial" w:cs="Arial"/>
            <w:sz w:val="18"/>
            <w:szCs w:val="18"/>
          </w:rPr>
          <w:t>New Zealand</w:t>
        </w:r>
      </w:smartTag>
      <w:r w:rsidRPr="00A1085C">
        <w:rPr>
          <w:rFonts w:ascii="Arial" w:hAnsi="Arial" w:cs="Arial"/>
          <w:sz w:val="18"/>
          <w:szCs w:val="18"/>
        </w:rPr>
        <w:t xml:space="preserve"> and </w:t>
      </w:r>
      <w:smartTag w:uri="urn:schemas-microsoft-com:office:smarttags" w:element="place">
        <w:smartTag w:uri="urn:schemas-microsoft-com:office:smarttags" w:element="country-region">
          <w:r w:rsidRPr="00A1085C">
            <w:rPr>
              <w:rFonts w:ascii="Arial" w:hAnsi="Arial" w:cs="Arial"/>
              <w:sz w:val="18"/>
              <w:szCs w:val="18"/>
            </w:rPr>
            <w:t>South Africa</w:t>
          </w:r>
        </w:smartTag>
      </w:smartTag>
    </w:p>
  </w:footnote>
  <w:footnote w:id="7">
    <w:p w14:paraId="12763FCC" w14:textId="77777777" w:rsidR="007C6361" w:rsidRPr="00A1085C" w:rsidRDefault="007C6361" w:rsidP="00FB18EF">
      <w:pPr>
        <w:pStyle w:val="NoSpacing1"/>
        <w:rPr>
          <w:rFonts w:ascii="Arial" w:hAnsi="Arial" w:cs="Arial"/>
          <w:sz w:val="18"/>
          <w:szCs w:val="18"/>
        </w:rPr>
      </w:pPr>
      <w:r w:rsidRPr="00A1085C">
        <w:rPr>
          <w:rStyle w:val="FootnoteReference"/>
          <w:rFonts w:ascii="Arial" w:hAnsi="Arial" w:cs="Arial"/>
          <w:sz w:val="18"/>
          <w:szCs w:val="18"/>
        </w:rPr>
        <w:footnoteRef/>
      </w:r>
      <w:r w:rsidRPr="00A1085C">
        <w:rPr>
          <w:rFonts w:ascii="Arial" w:hAnsi="Arial" w:cs="Arial"/>
          <w:sz w:val="18"/>
          <w:szCs w:val="18"/>
        </w:rPr>
        <w:t xml:space="preserve"> The MAA was signed in 2001; all 8 are signators.</w:t>
      </w:r>
    </w:p>
  </w:footnote>
  <w:footnote w:id="8">
    <w:p w14:paraId="5D7A2A15" w14:textId="77777777" w:rsidR="007C6361" w:rsidRDefault="007C6361" w:rsidP="00FB18EF">
      <w:pPr>
        <w:pStyle w:val="NoSpacing1"/>
      </w:pPr>
      <w:r w:rsidRPr="00A1085C">
        <w:rPr>
          <w:rStyle w:val="FootnoteReference"/>
          <w:rFonts w:ascii="Arial" w:hAnsi="Arial" w:cs="Arial"/>
          <w:sz w:val="18"/>
          <w:szCs w:val="18"/>
        </w:rPr>
        <w:footnoteRef/>
      </w:r>
      <w:r w:rsidRPr="00A1085C">
        <w:rPr>
          <w:rFonts w:ascii="Arial" w:hAnsi="Arial" w:cs="Arial"/>
          <w:sz w:val="18"/>
          <w:szCs w:val="18"/>
        </w:rPr>
        <w:t xml:space="preserve"> The Labeling Agreement went into force in 2010; all </w:t>
      </w:r>
      <w:r>
        <w:rPr>
          <w:rFonts w:ascii="Arial" w:hAnsi="Arial" w:cs="Arial"/>
          <w:sz w:val="18"/>
          <w:szCs w:val="18"/>
        </w:rPr>
        <w:t xml:space="preserve">6 of </w:t>
      </w:r>
      <w:r w:rsidRPr="00A1085C">
        <w:rPr>
          <w:rFonts w:ascii="Arial" w:hAnsi="Arial" w:cs="Arial"/>
          <w:sz w:val="18"/>
          <w:szCs w:val="18"/>
        </w:rPr>
        <w:t>8 are signators.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04EB7" w14:textId="77777777" w:rsidR="007C6361" w:rsidRDefault="007C6361" w:rsidP="00BC6FD9">
    <w:pPr>
      <w:pStyle w:val="Footer"/>
      <w:tabs>
        <w:tab w:val="clear" w:pos="4680"/>
        <w:tab w:val="left" w:pos="4410"/>
      </w:tabs>
      <w:jc w:val="center"/>
      <w:rPr>
        <w:b/>
        <w:i/>
      </w:rPr>
    </w:pPr>
    <w:bookmarkStart w:id="0" w:name="OLE_LINK1"/>
  </w:p>
  <w:bookmarkEnd w:i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89FBF" w14:textId="77777777" w:rsidR="007C6361" w:rsidRDefault="007C6361" w:rsidP="00BC6FD9">
    <w:pPr>
      <w:pStyle w:val="Header"/>
      <w:tabs>
        <w:tab w:val="clear" w:pos="4680"/>
        <w:tab w:val="clear" w:pos="9360"/>
        <w:tab w:val="left" w:pos="399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D72CA"/>
    <w:multiLevelType w:val="hybridMultilevel"/>
    <w:tmpl w:val="1EA8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85440D"/>
    <w:multiLevelType w:val="hybridMultilevel"/>
    <w:tmpl w:val="40962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4A17EB"/>
    <w:multiLevelType w:val="hybridMultilevel"/>
    <w:tmpl w:val="86645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2F65B8"/>
    <w:multiLevelType w:val="hybridMultilevel"/>
    <w:tmpl w:val="0F7A2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79606D"/>
    <w:multiLevelType w:val="hybridMultilevel"/>
    <w:tmpl w:val="76E49116"/>
    <w:lvl w:ilvl="0" w:tplc="EB9093BA">
      <w:start w:val="1"/>
      <w:numFmt w:val="decimal"/>
      <w:pStyle w:val="Style2"/>
      <w:lvlText w:val="%1."/>
      <w:lvlJc w:val="left"/>
      <w:pPr>
        <w:ind w:left="8280" w:hanging="360"/>
      </w:pPr>
    </w:lvl>
    <w:lvl w:ilvl="1" w:tplc="04090019">
      <w:start w:val="1"/>
      <w:numFmt w:val="lowerLetter"/>
      <w:lvlText w:val="%2."/>
      <w:lvlJc w:val="left"/>
      <w:pPr>
        <w:ind w:left="1440" w:hanging="360"/>
      </w:pPr>
    </w:lvl>
    <w:lvl w:ilvl="2" w:tplc="7F660AD6">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037022"/>
    <w:multiLevelType w:val="hybridMultilevel"/>
    <w:tmpl w:val="22D0D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840081"/>
    <w:multiLevelType w:val="hybridMultilevel"/>
    <w:tmpl w:val="22465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045F79"/>
    <w:multiLevelType w:val="hybridMultilevel"/>
    <w:tmpl w:val="E3CC8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AB074B"/>
    <w:multiLevelType w:val="hybridMultilevel"/>
    <w:tmpl w:val="15ACB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20101E"/>
    <w:multiLevelType w:val="hybridMultilevel"/>
    <w:tmpl w:val="EC784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1E3A10"/>
    <w:multiLevelType w:val="hybridMultilevel"/>
    <w:tmpl w:val="6B564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9D3ED2"/>
    <w:multiLevelType w:val="hybridMultilevel"/>
    <w:tmpl w:val="7CC63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0A076A"/>
    <w:multiLevelType w:val="hybridMultilevel"/>
    <w:tmpl w:val="CD6C4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AB64DB"/>
    <w:multiLevelType w:val="hybridMultilevel"/>
    <w:tmpl w:val="D278DCD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15:restartNumberingAfterBreak="0">
    <w:nsid w:val="74AA773E"/>
    <w:multiLevelType w:val="hybridMultilevel"/>
    <w:tmpl w:val="7AB27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16cid:durableId="1547377090">
    <w:abstractNumId w:val="4"/>
  </w:num>
  <w:num w:numId="2" w16cid:durableId="1725837276">
    <w:abstractNumId w:val="5"/>
  </w:num>
  <w:num w:numId="3" w16cid:durableId="1490899838">
    <w:abstractNumId w:val="10"/>
  </w:num>
  <w:num w:numId="4" w16cid:durableId="1363048355">
    <w:abstractNumId w:val="2"/>
  </w:num>
  <w:num w:numId="5" w16cid:durableId="218439530">
    <w:abstractNumId w:val="14"/>
  </w:num>
  <w:num w:numId="6" w16cid:durableId="137318689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4938900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68803208">
    <w:abstractNumId w:val="11"/>
  </w:num>
  <w:num w:numId="9" w16cid:durableId="665016115">
    <w:abstractNumId w:val="6"/>
  </w:num>
  <w:num w:numId="10" w16cid:durableId="53355619">
    <w:abstractNumId w:val="9"/>
  </w:num>
  <w:num w:numId="11" w16cid:durableId="489254781">
    <w:abstractNumId w:val="13"/>
  </w:num>
  <w:num w:numId="12" w16cid:durableId="1317606061">
    <w:abstractNumId w:val="0"/>
  </w:num>
  <w:num w:numId="13" w16cid:durableId="479421025">
    <w:abstractNumId w:val="12"/>
  </w:num>
  <w:num w:numId="14" w16cid:durableId="1653870593">
    <w:abstractNumId w:val="7"/>
  </w:num>
  <w:num w:numId="15" w16cid:durableId="426200345">
    <w:abstractNumId w:val="3"/>
  </w:num>
  <w:num w:numId="16" w16cid:durableId="189314832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revisionView w:formatting="0"/>
  <w:doNotTrackMove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A7DA1"/>
    <w:rsid w:val="00012EFC"/>
    <w:rsid w:val="00055AC3"/>
    <w:rsid w:val="00094B8C"/>
    <w:rsid w:val="000B5F1B"/>
    <w:rsid w:val="000D087E"/>
    <w:rsid w:val="001D1759"/>
    <w:rsid w:val="00201B59"/>
    <w:rsid w:val="002074D2"/>
    <w:rsid w:val="002B17EE"/>
    <w:rsid w:val="002F2C0B"/>
    <w:rsid w:val="00363C52"/>
    <w:rsid w:val="004170FD"/>
    <w:rsid w:val="00426776"/>
    <w:rsid w:val="00454720"/>
    <w:rsid w:val="00483690"/>
    <w:rsid w:val="004F4B41"/>
    <w:rsid w:val="00590169"/>
    <w:rsid w:val="005E4A8E"/>
    <w:rsid w:val="005F51ED"/>
    <w:rsid w:val="0066772F"/>
    <w:rsid w:val="006E389D"/>
    <w:rsid w:val="007563E1"/>
    <w:rsid w:val="007C6361"/>
    <w:rsid w:val="008201A2"/>
    <w:rsid w:val="008244DF"/>
    <w:rsid w:val="00885D9C"/>
    <w:rsid w:val="008E3369"/>
    <w:rsid w:val="008F10D5"/>
    <w:rsid w:val="00A050C5"/>
    <w:rsid w:val="00A95C71"/>
    <w:rsid w:val="00AB0745"/>
    <w:rsid w:val="00B65F7B"/>
    <w:rsid w:val="00BC6FD9"/>
    <w:rsid w:val="00C30197"/>
    <w:rsid w:val="00DF4DDC"/>
    <w:rsid w:val="00F31601"/>
    <w:rsid w:val="00FB1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56DD7A96"/>
  <w15:chartTrackingRefBased/>
  <w15:docId w15:val="{8A2F99B7-9A4F-49D9-B41C-D4C788B2F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qFormat="1"/>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1667"/>
    <w:pPr>
      <w:spacing w:after="200" w:line="276" w:lineRule="auto"/>
    </w:pPr>
    <w:rPr>
      <w:sz w:val="22"/>
      <w:szCs w:val="22"/>
    </w:rPr>
  </w:style>
  <w:style w:type="paragraph" w:styleId="Heading1">
    <w:name w:val="heading 1"/>
    <w:basedOn w:val="Normal"/>
    <w:next w:val="Normal"/>
    <w:qFormat/>
    <w:rsid w:val="001644B3"/>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qFormat/>
    <w:rsid w:val="001644B3"/>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qFormat/>
    <w:rsid w:val="001644B3"/>
    <w:pPr>
      <w:keepNext/>
      <w:spacing w:after="0" w:line="240" w:lineRule="auto"/>
      <w:ind w:left="187"/>
      <w:outlineLvl w:val="2"/>
    </w:pPr>
    <w:rPr>
      <w:i/>
      <w:iCs/>
    </w:rPr>
  </w:style>
  <w:style w:type="paragraph" w:styleId="Heading6">
    <w:name w:val="heading 6"/>
    <w:basedOn w:val="Normal"/>
    <w:next w:val="Normal"/>
    <w:link w:val="Heading6Char"/>
    <w:qFormat/>
    <w:rsid w:val="00586FE5"/>
    <w:pPr>
      <w:spacing w:before="240" w:after="60"/>
      <w:outlineLvl w:val="5"/>
    </w:pPr>
    <w:rPr>
      <w:rFonts w:eastAsia="Times New Roman"/>
      <w:b/>
      <w:bCs/>
    </w:rPr>
  </w:style>
  <w:style w:type="paragraph" w:styleId="Heading7">
    <w:name w:val="heading 7"/>
    <w:basedOn w:val="Normal"/>
    <w:next w:val="Normal"/>
    <w:link w:val="Heading7Char"/>
    <w:qFormat/>
    <w:rsid w:val="008A5A67"/>
    <w:pPr>
      <w:spacing w:before="240" w:after="60"/>
      <w:outlineLvl w:val="6"/>
    </w:pPr>
    <w:rPr>
      <w:rFonts w:eastAsia="Times New Roman"/>
      <w:sz w:val="24"/>
      <w:szCs w:val="24"/>
    </w:rPr>
  </w:style>
  <w:style w:type="paragraph" w:styleId="Heading9">
    <w:name w:val="heading 9"/>
    <w:basedOn w:val="Normal"/>
    <w:next w:val="Normal"/>
    <w:link w:val="Heading9Char"/>
    <w:qFormat/>
    <w:rsid w:val="00586FE5"/>
    <w:pPr>
      <w:spacing w:before="240" w:after="60"/>
      <w:outlineLvl w:val="8"/>
    </w:pPr>
    <w:rPr>
      <w:rFonts w:ascii="Cambria" w:eastAsia="Times New Roman" w:hAnsi="Cambri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sid w:val="001644B3"/>
    <w:rPr>
      <w:rFonts w:ascii="Cambria" w:eastAsia="Times New Roman" w:hAnsi="Cambria"/>
      <w:b/>
      <w:bCs/>
      <w:kern w:val="32"/>
      <w:sz w:val="32"/>
      <w:szCs w:val="32"/>
    </w:rPr>
  </w:style>
  <w:style w:type="character" w:customStyle="1" w:styleId="Heading2Char">
    <w:name w:val="Heading 2 Char"/>
    <w:rsid w:val="001644B3"/>
    <w:rPr>
      <w:rFonts w:ascii="Cambria" w:eastAsia="Times New Roman" w:hAnsi="Cambria"/>
      <w:b/>
      <w:bCs/>
      <w:i/>
      <w:iCs/>
      <w:sz w:val="28"/>
      <w:szCs w:val="28"/>
    </w:rPr>
  </w:style>
  <w:style w:type="paragraph" w:styleId="BalloonText">
    <w:name w:val="Balloon Text"/>
    <w:basedOn w:val="Normal"/>
    <w:semiHidden/>
    <w:unhideWhenUsed/>
    <w:rsid w:val="001644B3"/>
    <w:pPr>
      <w:spacing w:after="0" w:line="240" w:lineRule="auto"/>
    </w:pPr>
    <w:rPr>
      <w:rFonts w:ascii="Tahoma" w:hAnsi="Tahoma" w:cs="Tahoma"/>
      <w:sz w:val="16"/>
      <w:szCs w:val="16"/>
    </w:rPr>
  </w:style>
  <w:style w:type="character" w:customStyle="1" w:styleId="BalloonTextChar">
    <w:name w:val="Balloon Text Char"/>
    <w:semiHidden/>
    <w:rsid w:val="001644B3"/>
    <w:rPr>
      <w:rFonts w:ascii="Tahoma" w:hAnsi="Tahoma" w:cs="Tahoma"/>
      <w:sz w:val="16"/>
      <w:szCs w:val="16"/>
    </w:rPr>
  </w:style>
  <w:style w:type="character" w:styleId="Hyperlink">
    <w:name w:val="Hyperlink"/>
    <w:uiPriority w:val="99"/>
    <w:semiHidden/>
    <w:unhideWhenUsed/>
    <w:rsid w:val="001644B3"/>
    <w:rPr>
      <w:color w:val="0000FF"/>
      <w:u w:val="single"/>
    </w:rPr>
  </w:style>
  <w:style w:type="character" w:styleId="CommentReference">
    <w:name w:val="annotation reference"/>
    <w:semiHidden/>
    <w:unhideWhenUsed/>
    <w:rsid w:val="001644B3"/>
    <w:rPr>
      <w:sz w:val="16"/>
      <w:szCs w:val="16"/>
    </w:rPr>
  </w:style>
  <w:style w:type="paragraph" w:styleId="CommentText">
    <w:name w:val="annotation text"/>
    <w:basedOn w:val="Normal"/>
    <w:unhideWhenUsed/>
    <w:rsid w:val="001644B3"/>
    <w:pPr>
      <w:spacing w:line="240" w:lineRule="auto"/>
    </w:pPr>
    <w:rPr>
      <w:sz w:val="20"/>
      <w:szCs w:val="20"/>
    </w:rPr>
  </w:style>
  <w:style w:type="character" w:customStyle="1" w:styleId="CommentTextChar">
    <w:name w:val="Comment Text Char"/>
    <w:rsid w:val="001644B3"/>
    <w:rPr>
      <w:sz w:val="20"/>
      <w:szCs w:val="20"/>
    </w:rPr>
  </w:style>
  <w:style w:type="paragraph" w:styleId="CommentSubject">
    <w:name w:val="annotation subject"/>
    <w:basedOn w:val="CommentText"/>
    <w:next w:val="CommentText"/>
    <w:semiHidden/>
    <w:unhideWhenUsed/>
    <w:rsid w:val="001644B3"/>
    <w:rPr>
      <w:b/>
      <w:bCs/>
    </w:rPr>
  </w:style>
  <w:style w:type="character" w:customStyle="1" w:styleId="CommentSubjectChar">
    <w:name w:val="Comment Subject Char"/>
    <w:semiHidden/>
    <w:rsid w:val="001644B3"/>
    <w:rPr>
      <w:b/>
      <w:bCs/>
      <w:sz w:val="20"/>
      <w:szCs w:val="20"/>
    </w:rPr>
  </w:style>
  <w:style w:type="paragraph" w:styleId="Header">
    <w:name w:val="header"/>
    <w:basedOn w:val="Normal"/>
    <w:uiPriority w:val="99"/>
    <w:unhideWhenUsed/>
    <w:rsid w:val="001644B3"/>
    <w:pPr>
      <w:tabs>
        <w:tab w:val="center" w:pos="4680"/>
        <w:tab w:val="right" w:pos="9360"/>
      </w:tabs>
    </w:pPr>
  </w:style>
  <w:style w:type="character" w:customStyle="1" w:styleId="HeaderChar">
    <w:name w:val="Header Char"/>
    <w:uiPriority w:val="99"/>
    <w:rsid w:val="001644B3"/>
    <w:rPr>
      <w:sz w:val="22"/>
      <w:szCs w:val="22"/>
    </w:rPr>
  </w:style>
  <w:style w:type="paragraph" w:styleId="Footer">
    <w:name w:val="footer"/>
    <w:basedOn w:val="Normal"/>
    <w:unhideWhenUsed/>
    <w:rsid w:val="001644B3"/>
    <w:pPr>
      <w:tabs>
        <w:tab w:val="center" w:pos="4680"/>
        <w:tab w:val="right" w:pos="9360"/>
      </w:tabs>
    </w:pPr>
  </w:style>
  <w:style w:type="character" w:customStyle="1" w:styleId="FooterChar">
    <w:name w:val="Footer Char"/>
    <w:rsid w:val="001644B3"/>
    <w:rPr>
      <w:sz w:val="22"/>
      <w:szCs w:val="22"/>
    </w:rPr>
  </w:style>
  <w:style w:type="paragraph" w:customStyle="1" w:styleId="NoSpacing1">
    <w:name w:val="No Spacing1"/>
    <w:qFormat/>
    <w:rsid w:val="001644B3"/>
    <w:rPr>
      <w:sz w:val="22"/>
      <w:szCs w:val="22"/>
    </w:rPr>
  </w:style>
  <w:style w:type="paragraph" w:styleId="FootnoteText">
    <w:name w:val="footnote text"/>
    <w:basedOn w:val="Normal"/>
    <w:semiHidden/>
    <w:unhideWhenUsed/>
    <w:rsid w:val="001644B3"/>
    <w:rPr>
      <w:sz w:val="20"/>
      <w:szCs w:val="20"/>
    </w:rPr>
  </w:style>
  <w:style w:type="character" w:customStyle="1" w:styleId="FootnoteTextChar">
    <w:name w:val="Footnote Text Char"/>
    <w:basedOn w:val="DefaultParagraphFont"/>
    <w:rsid w:val="001644B3"/>
  </w:style>
  <w:style w:type="character" w:styleId="FootnoteReference">
    <w:name w:val="footnote reference"/>
    <w:uiPriority w:val="99"/>
    <w:semiHidden/>
    <w:unhideWhenUsed/>
    <w:rsid w:val="001644B3"/>
    <w:rPr>
      <w:vertAlign w:val="superscript"/>
    </w:rPr>
  </w:style>
  <w:style w:type="paragraph" w:customStyle="1" w:styleId="xmsonormal">
    <w:name w:val="x_msonormal"/>
    <w:basedOn w:val="Normal"/>
    <w:rsid w:val="001644B3"/>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semiHidden/>
    <w:unhideWhenUsed/>
    <w:rsid w:val="001644B3"/>
    <w:rPr>
      <w:color w:val="800080"/>
      <w:u w:val="single"/>
    </w:rPr>
  </w:style>
  <w:style w:type="character" w:styleId="Strong">
    <w:name w:val="Strong"/>
    <w:uiPriority w:val="22"/>
    <w:qFormat/>
    <w:rsid w:val="001644B3"/>
    <w:rPr>
      <w:b/>
      <w:bCs/>
    </w:rPr>
  </w:style>
  <w:style w:type="character" w:customStyle="1" w:styleId="stybody1">
    <w:name w:val="stybody1"/>
    <w:rsid w:val="001644B3"/>
    <w:rPr>
      <w:rFonts w:ascii="Verdana" w:hAnsi="Verdana" w:hint="default"/>
      <w:sz w:val="20"/>
      <w:szCs w:val="20"/>
    </w:rPr>
  </w:style>
  <w:style w:type="paragraph" w:customStyle="1" w:styleId="ColorfulList-Accent11">
    <w:name w:val="Colorful List - Accent 11"/>
    <w:qFormat/>
    <w:rsid w:val="001644B3"/>
    <w:pPr>
      <w:spacing w:after="200" w:line="276" w:lineRule="auto"/>
      <w:ind w:left="720"/>
    </w:pPr>
    <w:rPr>
      <w:rFonts w:ascii="Lucida Grande" w:eastAsia="ヒラギノ角ゴ Pro W3" w:hAnsi="Lucida Grande"/>
      <w:color w:val="000000"/>
      <w:sz w:val="22"/>
    </w:rPr>
  </w:style>
  <w:style w:type="paragraph" w:customStyle="1" w:styleId="SubtleEmphasis1">
    <w:name w:val="Subtle Emphasis1"/>
    <w:basedOn w:val="Normal"/>
    <w:uiPriority w:val="34"/>
    <w:qFormat/>
    <w:rsid w:val="0089410C"/>
    <w:pPr>
      <w:ind w:left="720"/>
      <w:contextualSpacing/>
    </w:pPr>
  </w:style>
  <w:style w:type="paragraph" w:customStyle="1" w:styleId="MediumList1-Accent61">
    <w:name w:val="Medium List 1 - Accent 61"/>
    <w:basedOn w:val="Normal"/>
    <w:qFormat/>
    <w:rsid w:val="002916B5"/>
    <w:pPr>
      <w:ind w:left="720"/>
      <w:contextualSpacing/>
    </w:pPr>
  </w:style>
  <w:style w:type="paragraph" w:customStyle="1" w:styleId="NoSpacing2">
    <w:name w:val="No Spacing2"/>
    <w:basedOn w:val="Normal"/>
    <w:uiPriority w:val="1"/>
    <w:qFormat/>
    <w:rsid w:val="002D2CB9"/>
    <w:rPr>
      <w:szCs w:val="32"/>
    </w:rPr>
  </w:style>
  <w:style w:type="paragraph" w:styleId="Title">
    <w:name w:val="Title"/>
    <w:basedOn w:val="Normal"/>
    <w:link w:val="TitleChar"/>
    <w:qFormat/>
    <w:rsid w:val="00163E34"/>
    <w:pPr>
      <w:overflowPunct w:val="0"/>
      <w:autoSpaceDE w:val="0"/>
      <w:autoSpaceDN w:val="0"/>
      <w:adjustRightInd w:val="0"/>
      <w:spacing w:after="0" w:line="240" w:lineRule="auto"/>
      <w:jc w:val="center"/>
    </w:pPr>
    <w:rPr>
      <w:rFonts w:ascii="Times New Roman" w:eastAsia="Times New Roman" w:hAnsi="Times New Roman"/>
      <w:b/>
      <w:bCs/>
      <w:sz w:val="28"/>
      <w:szCs w:val="20"/>
      <w:lang w:eastAsia="es-ES"/>
    </w:rPr>
  </w:style>
  <w:style w:type="character" w:customStyle="1" w:styleId="TitleChar">
    <w:name w:val="Title Char"/>
    <w:link w:val="Title"/>
    <w:rsid w:val="00163E34"/>
    <w:rPr>
      <w:rFonts w:ascii="Times New Roman" w:eastAsia="Times New Roman" w:hAnsi="Times New Roman"/>
      <w:b/>
      <w:bCs/>
      <w:sz w:val="28"/>
      <w:lang w:eastAsia="es-ES"/>
    </w:rPr>
  </w:style>
  <w:style w:type="paragraph" w:customStyle="1" w:styleId="a">
    <w:name w:val="바탕글"/>
    <w:basedOn w:val="Normal"/>
    <w:rsid w:val="000F2EDD"/>
    <w:pPr>
      <w:snapToGrid w:val="0"/>
      <w:spacing w:after="0" w:line="384" w:lineRule="auto"/>
      <w:jc w:val="both"/>
    </w:pPr>
    <w:rPr>
      <w:rFonts w:ascii="Batang" w:eastAsia="Batang" w:hAnsi="Batang" w:cs="Gulim"/>
      <w:color w:val="000000"/>
      <w:sz w:val="20"/>
      <w:szCs w:val="20"/>
      <w:lang w:eastAsia="ko-KR"/>
    </w:rPr>
  </w:style>
  <w:style w:type="paragraph" w:styleId="NormalWeb">
    <w:name w:val="Normal (Web)"/>
    <w:basedOn w:val="Normal"/>
    <w:uiPriority w:val="99"/>
    <w:unhideWhenUsed/>
    <w:rsid w:val="00B9486A"/>
    <w:pPr>
      <w:spacing w:before="150" w:after="75" w:line="240" w:lineRule="auto"/>
      <w:ind w:right="75"/>
    </w:pPr>
    <w:rPr>
      <w:rFonts w:ascii="Times New Roman" w:hAnsi="Times New Roman"/>
      <w:color w:val="333333"/>
      <w:sz w:val="24"/>
      <w:szCs w:val="24"/>
    </w:rPr>
  </w:style>
  <w:style w:type="paragraph" w:customStyle="1" w:styleId="Default">
    <w:name w:val="Default"/>
    <w:rsid w:val="007E201A"/>
    <w:pPr>
      <w:autoSpaceDE w:val="0"/>
      <w:autoSpaceDN w:val="0"/>
      <w:adjustRightInd w:val="0"/>
    </w:pPr>
    <w:rPr>
      <w:rFonts w:ascii="Arial" w:eastAsia="Times New Roman" w:hAnsi="Arial" w:cs="Arial"/>
      <w:color w:val="000000"/>
      <w:sz w:val="24"/>
      <w:szCs w:val="24"/>
      <w:lang w:val="en-GB" w:eastAsia="en-GB"/>
    </w:rPr>
  </w:style>
  <w:style w:type="paragraph" w:styleId="BodyText">
    <w:name w:val="Body Text"/>
    <w:basedOn w:val="Default"/>
    <w:next w:val="Default"/>
    <w:link w:val="BodyTextChar"/>
    <w:rsid w:val="007E201A"/>
    <w:rPr>
      <w:rFonts w:cs="Times New Roman"/>
      <w:color w:val="auto"/>
    </w:rPr>
  </w:style>
  <w:style w:type="character" w:customStyle="1" w:styleId="BodyTextChar">
    <w:name w:val="Body Text Char"/>
    <w:link w:val="BodyText"/>
    <w:rsid w:val="007E201A"/>
    <w:rPr>
      <w:rFonts w:ascii="Arial" w:eastAsia="Times New Roman" w:hAnsi="Arial"/>
      <w:sz w:val="24"/>
      <w:szCs w:val="24"/>
      <w:lang w:val="en-GB" w:eastAsia="en-GB"/>
    </w:rPr>
  </w:style>
  <w:style w:type="paragraph" w:customStyle="1" w:styleId="ColorfulList-Accent12">
    <w:name w:val="Colorful List - Accent 12"/>
    <w:basedOn w:val="Normal"/>
    <w:uiPriority w:val="34"/>
    <w:qFormat/>
    <w:rsid w:val="009F0C05"/>
    <w:pPr>
      <w:ind w:left="720"/>
      <w:contextualSpacing/>
    </w:pPr>
    <w:rPr>
      <w:rFonts w:eastAsia="Times New Roman"/>
    </w:rPr>
  </w:style>
  <w:style w:type="paragraph" w:styleId="BodyText2">
    <w:name w:val="Body Text 2"/>
    <w:basedOn w:val="Normal"/>
    <w:link w:val="BodyText2Char"/>
    <w:rsid w:val="00F7415B"/>
    <w:pPr>
      <w:spacing w:after="120" w:line="480" w:lineRule="auto"/>
    </w:pPr>
  </w:style>
  <w:style w:type="character" w:customStyle="1" w:styleId="BodyText2Char">
    <w:name w:val="Body Text 2 Char"/>
    <w:link w:val="BodyText2"/>
    <w:rsid w:val="00F7415B"/>
    <w:rPr>
      <w:sz w:val="22"/>
      <w:szCs w:val="22"/>
    </w:rPr>
  </w:style>
  <w:style w:type="character" w:customStyle="1" w:styleId="apple-style-span">
    <w:name w:val="apple-style-span"/>
    <w:basedOn w:val="DefaultParagraphFont"/>
    <w:rsid w:val="001F5A8F"/>
  </w:style>
  <w:style w:type="character" w:customStyle="1" w:styleId="hps">
    <w:name w:val="hps"/>
    <w:basedOn w:val="DefaultParagraphFont"/>
    <w:rsid w:val="001F5A8F"/>
  </w:style>
  <w:style w:type="paragraph" w:styleId="BodyTextIndent">
    <w:name w:val="Body Text Indent"/>
    <w:basedOn w:val="Normal"/>
    <w:link w:val="BodyTextIndentChar"/>
    <w:rsid w:val="0070635E"/>
    <w:pPr>
      <w:spacing w:after="120"/>
      <w:ind w:left="360"/>
    </w:pPr>
  </w:style>
  <w:style w:type="character" w:customStyle="1" w:styleId="BodyTextIndentChar">
    <w:name w:val="Body Text Indent Char"/>
    <w:link w:val="BodyTextIndent"/>
    <w:rsid w:val="0070635E"/>
    <w:rPr>
      <w:sz w:val="22"/>
      <w:szCs w:val="22"/>
    </w:rPr>
  </w:style>
  <w:style w:type="paragraph" w:customStyle="1" w:styleId="Style2">
    <w:name w:val="Style2"/>
    <w:rsid w:val="00F13F39"/>
    <w:pPr>
      <w:numPr>
        <w:numId w:val="1"/>
      </w:numPr>
      <w:ind w:left="360"/>
      <w:jc w:val="both"/>
    </w:pPr>
    <w:rPr>
      <w:rFonts w:ascii="Times New Roman" w:eastAsia="BatangChe" w:hAnsi="Times New Roman"/>
      <w:snapToGrid w:val="0"/>
      <w:color w:val="000000"/>
      <w:sz w:val="22"/>
      <w:szCs w:val="22"/>
    </w:rPr>
  </w:style>
  <w:style w:type="character" w:styleId="Emphasis">
    <w:name w:val="Emphasis"/>
    <w:qFormat/>
    <w:rsid w:val="00F13F39"/>
    <w:rPr>
      <w:i/>
      <w:iCs/>
    </w:rPr>
  </w:style>
  <w:style w:type="paragraph" w:styleId="NoSpacing">
    <w:name w:val="No Spacing"/>
    <w:basedOn w:val="Normal"/>
    <w:uiPriority w:val="1"/>
    <w:qFormat/>
    <w:rsid w:val="005036A8"/>
    <w:rPr>
      <w:szCs w:val="32"/>
    </w:rPr>
  </w:style>
  <w:style w:type="character" w:customStyle="1" w:styleId="Heading7Char">
    <w:name w:val="Heading 7 Char"/>
    <w:link w:val="Heading7"/>
    <w:semiHidden/>
    <w:rsid w:val="008A5A67"/>
    <w:rPr>
      <w:rFonts w:ascii="Calibri" w:eastAsia="Times New Roman" w:hAnsi="Calibri" w:cs="Times New Roman"/>
      <w:sz w:val="24"/>
      <w:szCs w:val="24"/>
    </w:rPr>
  </w:style>
  <w:style w:type="character" w:customStyle="1" w:styleId="Heading6Char">
    <w:name w:val="Heading 6 Char"/>
    <w:link w:val="Heading6"/>
    <w:semiHidden/>
    <w:rsid w:val="00586FE5"/>
    <w:rPr>
      <w:rFonts w:ascii="Calibri" w:eastAsia="Times New Roman" w:hAnsi="Calibri" w:cs="Times New Roman"/>
      <w:b/>
      <w:bCs/>
      <w:sz w:val="22"/>
      <w:szCs w:val="22"/>
    </w:rPr>
  </w:style>
  <w:style w:type="character" w:customStyle="1" w:styleId="Heading9Char">
    <w:name w:val="Heading 9 Char"/>
    <w:link w:val="Heading9"/>
    <w:semiHidden/>
    <w:rsid w:val="00586FE5"/>
    <w:rPr>
      <w:rFonts w:ascii="Cambria" w:eastAsia="Times New Roman" w:hAnsi="Cambria" w:cs="Times New Roman"/>
      <w:sz w:val="22"/>
      <w:szCs w:val="22"/>
    </w:rPr>
  </w:style>
  <w:style w:type="paragraph" w:styleId="ListParagraph">
    <w:name w:val="List Paragraph"/>
    <w:basedOn w:val="Normal"/>
    <w:qFormat/>
    <w:rsid w:val="007C6361"/>
    <w:pPr>
      <w:widowControl w:val="0"/>
      <w:spacing w:after="0" w:line="240" w:lineRule="auto"/>
      <w:ind w:leftChars="400" w:left="840"/>
      <w:jc w:val="both"/>
    </w:pPr>
    <w:rPr>
      <w:rFonts w:ascii="Times New Roman" w:eastAsia="MS Gothic" w:hAnsi="Times New Roman"/>
      <w:kern w:val="2"/>
      <w:sz w:val="24"/>
      <w:szCs w:val="24"/>
      <w:lang w:val="en-S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517727">
      <w:bodyDiv w:val="1"/>
      <w:marLeft w:val="0"/>
      <w:marRight w:val="0"/>
      <w:marTop w:val="0"/>
      <w:marBottom w:val="0"/>
      <w:divBdr>
        <w:top w:val="none" w:sz="0" w:space="0" w:color="auto"/>
        <w:left w:val="none" w:sz="0" w:space="0" w:color="auto"/>
        <w:bottom w:val="none" w:sz="0" w:space="0" w:color="auto"/>
        <w:right w:val="none" w:sz="0" w:space="0" w:color="auto"/>
      </w:divBdr>
    </w:div>
    <w:div w:id="169879346">
      <w:bodyDiv w:val="1"/>
      <w:marLeft w:val="0"/>
      <w:marRight w:val="0"/>
      <w:marTop w:val="0"/>
      <w:marBottom w:val="0"/>
      <w:divBdr>
        <w:top w:val="none" w:sz="0" w:space="0" w:color="auto"/>
        <w:left w:val="none" w:sz="0" w:space="0" w:color="auto"/>
        <w:bottom w:val="none" w:sz="0" w:space="0" w:color="auto"/>
        <w:right w:val="none" w:sz="0" w:space="0" w:color="auto"/>
      </w:divBdr>
    </w:div>
    <w:div w:id="249435776">
      <w:bodyDiv w:val="1"/>
      <w:marLeft w:val="0"/>
      <w:marRight w:val="0"/>
      <w:marTop w:val="0"/>
      <w:marBottom w:val="0"/>
      <w:divBdr>
        <w:top w:val="none" w:sz="0" w:space="0" w:color="auto"/>
        <w:left w:val="none" w:sz="0" w:space="0" w:color="auto"/>
        <w:bottom w:val="none" w:sz="0" w:space="0" w:color="auto"/>
        <w:right w:val="none" w:sz="0" w:space="0" w:color="auto"/>
      </w:divBdr>
      <w:divsChild>
        <w:div w:id="8627925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9290373">
      <w:bodyDiv w:val="1"/>
      <w:marLeft w:val="0"/>
      <w:marRight w:val="0"/>
      <w:marTop w:val="0"/>
      <w:marBottom w:val="0"/>
      <w:divBdr>
        <w:top w:val="none" w:sz="0" w:space="0" w:color="auto"/>
        <w:left w:val="none" w:sz="0" w:space="0" w:color="auto"/>
        <w:bottom w:val="none" w:sz="0" w:space="0" w:color="auto"/>
        <w:right w:val="none" w:sz="0" w:space="0" w:color="auto"/>
      </w:divBdr>
    </w:div>
    <w:div w:id="332998119">
      <w:bodyDiv w:val="1"/>
      <w:marLeft w:val="0"/>
      <w:marRight w:val="0"/>
      <w:marTop w:val="0"/>
      <w:marBottom w:val="0"/>
      <w:divBdr>
        <w:top w:val="none" w:sz="0" w:space="0" w:color="auto"/>
        <w:left w:val="none" w:sz="0" w:space="0" w:color="auto"/>
        <w:bottom w:val="none" w:sz="0" w:space="0" w:color="auto"/>
        <w:right w:val="none" w:sz="0" w:space="0" w:color="auto"/>
      </w:divBdr>
    </w:div>
    <w:div w:id="360597006">
      <w:bodyDiv w:val="1"/>
      <w:marLeft w:val="0"/>
      <w:marRight w:val="0"/>
      <w:marTop w:val="0"/>
      <w:marBottom w:val="0"/>
      <w:divBdr>
        <w:top w:val="none" w:sz="0" w:space="0" w:color="auto"/>
        <w:left w:val="none" w:sz="0" w:space="0" w:color="auto"/>
        <w:bottom w:val="none" w:sz="0" w:space="0" w:color="auto"/>
        <w:right w:val="none" w:sz="0" w:space="0" w:color="auto"/>
      </w:divBdr>
    </w:div>
    <w:div w:id="583687852">
      <w:bodyDiv w:val="1"/>
      <w:marLeft w:val="0"/>
      <w:marRight w:val="0"/>
      <w:marTop w:val="0"/>
      <w:marBottom w:val="0"/>
      <w:divBdr>
        <w:top w:val="none" w:sz="0" w:space="0" w:color="auto"/>
        <w:left w:val="none" w:sz="0" w:space="0" w:color="auto"/>
        <w:bottom w:val="none" w:sz="0" w:space="0" w:color="auto"/>
        <w:right w:val="none" w:sz="0" w:space="0" w:color="auto"/>
      </w:divBdr>
    </w:div>
    <w:div w:id="626157945">
      <w:bodyDiv w:val="1"/>
      <w:marLeft w:val="0"/>
      <w:marRight w:val="0"/>
      <w:marTop w:val="0"/>
      <w:marBottom w:val="0"/>
      <w:divBdr>
        <w:top w:val="none" w:sz="0" w:space="0" w:color="auto"/>
        <w:left w:val="none" w:sz="0" w:space="0" w:color="auto"/>
        <w:bottom w:val="none" w:sz="0" w:space="0" w:color="auto"/>
        <w:right w:val="none" w:sz="0" w:space="0" w:color="auto"/>
      </w:divBdr>
    </w:div>
    <w:div w:id="630020614">
      <w:bodyDiv w:val="1"/>
      <w:marLeft w:val="0"/>
      <w:marRight w:val="0"/>
      <w:marTop w:val="0"/>
      <w:marBottom w:val="0"/>
      <w:divBdr>
        <w:top w:val="none" w:sz="0" w:space="0" w:color="auto"/>
        <w:left w:val="none" w:sz="0" w:space="0" w:color="auto"/>
        <w:bottom w:val="none" w:sz="0" w:space="0" w:color="auto"/>
        <w:right w:val="none" w:sz="0" w:space="0" w:color="auto"/>
      </w:divBdr>
    </w:div>
    <w:div w:id="668337679">
      <w:bodyDiv w:val="1"/>
      <w:marLeft w:val="0"/>
      <w:marRight w:val="0"/>
      <w:marTop w:val="0"/>
      <w:marBottom w:val="0"/>
      <w:divBdr>
        <w:top w:val="none" w:sz="0" w:space="0" w:color="auto"/>
        <w:left w:val="none" w:sz="0" w:space="0" w:color="auto"/>
        <w:bottom w:val="none" w:sz="0" w:space="0" w:color="auto"/>
        <w:right w:val="none" w:sz="0" w:space="0" w:color="auto"/>
      </w:divBdr>
    </w:div>
    <w:div w:id="734620730">
      <w:bodyDiv w:val="1"/>
      <w:marLeft w:val="0"/>
      <w:marRight w:val="0"/>
      <w:marTop w:val="0"/>
      <w:marBottom w:val="0"/>
      <w:divBdr>
        <w:top w:val="none" w:sz="0" w:space="0" w:color="auto"/>
        <w:left w:val="none" w:sz="0" w:space="0" w:color="auto"/>
        <w:bottom w:val="none" w:sz="0" w:space="0" w:color="auto"/>
        <w:right w:val="none" w:sz="0" w:space="0" w:color="auto"/>
      </w:divBdr>
    </w:div>
    <w:div w:id="807555973">
      <w:bodyDiv w:val="1"/>
      <w:marLeft w:val="0"/>
      <w:marRight w:val="0"/>
      <w:marTop w:val="0"/>
      <w:marBottom w:val="0"/>
      <w:divBdr>
        <w:top w:val="none" w:sz="0" w:space="0" w:color="auto"/>
        <w:left w:val="none" w:sz="0" w:space="0" w:color="auto"/>
        <w:bottom w:val="none" w:sz="0" w:space="0" w:color="auto"/>
        <w:right w:val="none" w:sz="0" w:space="0" w:color="auto"/>
      </w:divBdr>
    </w:div>
    <w:div w:id="870530070">
      <w:bodyDiv w:val="1"/>
      <w:marLeft w:val="0"/>
      <w:marRight w:val="0"/>
      <w:marTop w:val="0"/>
      <w:marBottom w:val="0"/>
      <w:divBdr>
        <w:top w:val="none" w:sz="0" w:space="0" w:color="auto"/>
        <w:left w:val="none" w:sz="0" w:space="0" w:color="auto"/>
        <w:bottom w:val="none" w:sz="0" w:space="0" w:color="auto"/>
        <w:right w:val="none" w:sz="0" w:space="0" w:color="auto"/>
      </w:divBdr>
    </w:div>
    <w:div w:id="957761564">
      <w:bodyDiv w:val="1"/>
      <w:marLeft w:val="0"/>
      <w:marRight w:val="0"/>
      <w:marTop w:val="0"/>
      <w:marBottom w:val="0"/>
      <w:divBdr>
        <w:top w:val="none" w:sz="0" w:space="0" w:color="auto"/>
        <w:left w:val="none" w:sz="0" w:space="0" w:color="auto"/>
        <w:bottom w:val="none" w:sz="0" w:space="0" w:color="auto"/>
        <w:right w:val="none" w:sz="0" w:space="0" w:color="auto"/>
      </w:divBdr>
    </w:div>
    <w:div w:id="1083913119">
      <w:bodyDiv w:val="1"/>
      <w:marLeft w:val="0"/>
      <w:marRight w:val="0"/>
      <w:marTop w:val="0"/>
      <w:marBottom w:val="0"/>
      <w:divBdr>
        <w:top w:val="none" w:sz="0" w:space="0" w:color="auto"/>
        <w:left w:val="none" w:sz="0" w:space="0" w:color="auto"/>
        <w:bottom w:val="none" w:sz="0" w:space="0" w:color="auto"/>
        <w:right w:val="none" w:sz="0" w:space="0" w:color="auto"/>
      </w:divBdr>
    </w:div>
    <w:div w:id="1319074648">
      <w:bodyDiv w:val="1"/>
      <w:marLeft w:val="0"/>
      <w:marRight w:val="0"/>
      <w:marTop w:val="0"/>
      <w:marBottom w:val="0"/>
      <w:divBdr>
        <w:top w:val="none" w:sz="0" w:space="0" w:color="auto"/>
        <w:left w:val="none" w:sz="0" w:space="0" w:color="auto"/>
        <w:bottom w:val="none" w:sz="0" w:space="0" w:color="auto"/>
        <w:right w:val="none" w:sz="0" w:space="0" w:color="auto"/>
      </w:divBdr>
    </w:div>
    <w:div w:id="1366326457">
      <w:bodyDiv w:val="1"/>
      <w:marLeft w:val="0"/>
      <w:marRight w:val="0"/>
      <w:marTop w:val="0"/>
      <w:marBottom w:val="0"/>
      <w:divBdr>
        <w:top w:val="none" w:sz="0" w:space="0" w:color="auto"/>
        <w:left w:val="none" w:sz="0" w:space="0" w:color="auto"/>
        <w:bottom w:val="none" w:sz="0" w:space="0" w:color="auto"/>
        <w:right w:val="none" w:sz="0" w:space="0" w:color="auto"/>
      </w:divBdr>
    </w:div>
    <w:div w:id="1406339020">
      <w:bodyDiv w:val="1"/>
      <w:marLeft w:val="0"/>
      <w:marRight w:val="0"/>
      <w:marTop w:val="0"/>
      <w:marBottom w:val="0"/>
      <w:divBdr>
        <w:top w:val="none" w:sz="0" w:space="0" w:color="auto"/>
        <w:left w:val="none" w:sz="0" w:space="0" w:color="auto"/>
        <w:bottom w:val="none" w:sz="0" w:space="0" w:color="auto"/>
        <w:right w:val="none" w:sz="0" w:space="0" w:color="auto"/>
      </w:divBdr>
    </w:div>
    <w:div w:id="1477524478">
      <w:bodyDiv w:val="1"/>
      <w:marLeft w:val="0"/>
      <w:marRight w:val="0"/>
      <w:marTop w:val="0"/>
      <w:marBottom w:val="0"/>
      <w:divBdr>
        <w:top w:val="none" w:sz="0" w:space="0" w:color="auto"/>
        <w:left w:val="none" w:sz="0" w:space="0" w:color="auto"/>
        <w:bottom w:val="none" w:sz="0" w:space="0" w:color="auto"/>
        <w:right w:val="none" w:sz="0" w:space="0" w:color="auto"/>
      </w:divBdr>
    </w:div>
    <w:div w:id="1504316110">
      <w:bodyDiv w:val="1"/>
      <w:marLeft w:val="0"/>
      <w:marRight w:val="0"/>
      <w:marTop w:val="0"/>
      <w:marBottom w:val="0"/>
      <w:divBdr>
        <w:top w:val="none" w:sz="0" w:space="0" w:color="auto"/>
        <w:left w:val="none" w:sz="0" w:space="0" w:color="auto"/>
        <w:bottom w:val="none" w:sz="0" w:space="0" w:color="auto"/>
        <w:right w:val="none" w:sz="0" w:space="0" w:color="auto"/>
      </w:divBdr>
    </w:div>
    <w:div w:id="1531410875">
      <w:bodyDiv w:val="1"/>
      <w:marLeft w:val="0"/>
      <w:marRight w:val="0"/>
      <w:marTop w:val="0"/>
      <w:marBottom w:val="0"/>
      <w:divBdr>
        <w:top w:val="none" w:sz="0" w:space="0" w:color="auto"/>
        <w:left w:val="none" w:sz="0" w:space="0" w:color="auto"/>
        <w:bottom w:val="none" w:sz="0" w:space="0" w:color="auto"/>
        <w:right w:val="none" w:sz="0" w:space="0" w:color="auto"/>
      </w:divBdr>
    </w:div>
    <w:div w:id="1695569038">
      <w:bodyDiv w:val="1"/>
      <w:marLeft w:val="0"/>
      <w:marRight w:val="0"/>
      <w:marTop w:val="0"/>
      <w:marBottom w:val="0"/>
      <w:divBdr>
        <w:top w:val="none" w:sz="0" w:space="0" w:color="auto"/>
        <w:left w:val="none" w:sz="0" w:space="0" w:color="auto"/>
        <w:bottom w:val="none" w:sz="0" w:space="0" w:color="auto"/>
        <w:right w:val="none" w:sz="0" w:space="0" w:color="auto"/>
      </w:divBdr>
    </w:div>
    <w:div w:id="1748376613">
      <w:bodyDiv w:val="1"/>
      <w:marLeft w:val="0"/>
      <w:marRight w:val="0"/>
      <w:marTop w:val="0"/>
      <w:marBottom w:val="0"/>
      <w:divBdr>
        <w:top w:val="none" w:sz="0" w:space="0" w:color="auto"/>
        <w:left w:val="none" w:sz="0" w:space="0" w:color="auto"/>
        <w:bottom w:val="none" w:sz="0" w:space="0" w:color="auto"/>
        <w:right w:val="none" w:sz="0" w:space="0" w:color="auto"/>
      </w:divBdr>
      <w:divsChild>
        <w:div w:id="2175222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6080715">
      <w:bodyDiv w:val="1"/>
      <w:marLeft w:val="0"/>
      <w:marRight w:val="0"/>
      <w:marTop w:val="0"/>
      <w:marBottom w:val="0"/>
      <w:divBdr>
        <w:top w:val="none" w:sz="0" w:space="0" w:color="auto"/>
        <w:left w:val="none" w:sz="0" w:space="0" w:color="auto"/>
        <w:bottom w:val="none" w:sz="0" w:space="0" w:color="auto"/>
        <w:right w:val="none" w:sz="0" w:space="0" w:color="auto"/>
      </w:divBdr>
      <w:divsChild>
        <w:div w:id="2656263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823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FB9D2041F12D4CA412A4929D3C2FD2" ma:contentTypeVersion="15" ma:contentTypeDescription="Create a new document." ma:contentTypeScope="" ma:versionID="492ceb5944b1b78589e79eb4f06ac627">
  <xsd:schema xmlns:xsd="http://www.w3.org/2001/XMLSchema" xmlns:p="http://schemas.microsoft.com/office/2006/metadata/properties" xmlns:ns2="21825695-5fbc-4f8f-8909-2f62151a4dcc" targetNamespace="http://schemas.microsoft.com/office/2006/metadata/properties" ma:root="true" ma:fieldsID="7204edf23488f5d0bb328f86a9ae3592" ns2:_="">
    <xsd:import namespace="21825695-5fbc-4f8f-8909-2f62151a4dcc"/>
    <xsd:element name="properties">
      <xsd:complexType>
        <xsd:sequence>
          <xsd:element name="documentManagement">
            <xsd:complexType>
              <xsd:all>
                <xsd:element ref="ns2:MDDBDocType" minOccurs="0"/>
                <xsd:element ref="ns2:MDDBOrder" minOccurs="0"/>
                <xsd:element ref="ns2:MDDBDocNum" minOccurs="0"/>
                <xsd:element ref="ns2:MDDBTitle" minOccurs="0"/>
                <xsd:element ref="ns2:MDDBStartDate" minOccurs="0"/>
                <xsd:element ref="ns2:MDDBEndDate" minOccurs="0"/>
                <xsd:element ref="ns2:MDDBMeetingName" minOccurs="0"/>
                <xsd:element ref="ns2:MDDBVenEco" minOccurs="0"/>
                <xsd:element ref="ns2:MDDBVenCity" minOccurs="0"/>
                <xsd:element ref="ns2:MDDBGroup" minOccurs="0"/>
                <xsd:element ref="ns2:MDDBSubEco" minOccurs="0"/>
                <xsd:element ref="ns2:MDDBSubGroup" minOccurs="0"/>
                <xsd:element ref="ns2:MDDBSubOrg" minOccurs="0"/>
                <xsd:element ref="ns2:MDDBClass" minOccurs="0"/>
                <xsd:element ref="ns2:MDDBStatus" minOccurs="0"/>
              </xsd:all>
            </xsd:complexType>
          </xsd:element>
        </xsd:sequence>
      </xsd:complexType>
    </xsd:element>
  </xsd:schema>
  <xsd:schema xmlns:xsd="http://www.w3.org/2001/XMLSchema" xmlns:dms="http://schemas.microsoft.com/office/2006/documentManagement/types" targetNamespace="21825695-5fbc-4f8f-8909-2f62151a4dcc" elementFormDefault="qualified">
    <xsd:import namespace="http://schemas.microsoft.com/office/2006/documentManagement/types"/>
    <xsd:element name="MDDBDocType" ma:index="8" nillable="true" ma:displayName="Document Type" ma:format="Dropdown" ma:internalName="MDDBDocType">
      <xsd:simpleType>
        <xsd:restriction base="dms:Choice">
          <xsd:enumeration value="Agenda"/>
          <xsd:enumeration value="Document List"/>
          <xsd:enumeration value="Leaders’ Declaration"/>
          <xsd:enumeration value="Ministerial Statement - Annual"/>
          <xsd:enumeration value="Ministerial Statement - Sectoral"/>
          <xsd:enumeration value="Participant List"/>
          <xsd:enumeration value="Paper"/>
          <xsd:enumeration value="Summary Record"/>
        </xsd:restriction>
      </xsd:simpleType>
    </xsd:element>
    <xsd:element name="MDDBOrder" ma:index="9" nillable="true" ma:displayName="Custom Order" ma:decimals="0" ma:default="99999" ma:internalName="MDDBOrder">
      <xsd:simpleType>
        <xsd:restriction base="dms:Number"/>
      </xsd:simpleType>
    </xsd:element>
    <xsd:element name="MDDBDocNum" ma:index="10" nillable="true" ma:displayName="Document Number" ma:internalName="MDDBDocNum">
      <xsd:simpleType>
        <xsd:restriction base="dms:Text">
          <xsd:maxLength value="255"/>
        </xsd:restriction>
      </xsd:simpleType>
    </xsd:element>
    <xsd:element name="MDDBTitle" ma:index="11" nillable="true" ma:displayName="Document Title" ma:internalName="MDDBTitle">
      <xsd:simpleType>
        <xsd:restriction base="dms:Note"/>
      </xsd:simpleType>
    </xsd:element>
    <xsd:element name="MDDBStartDate" ma:index="12" nillable="true" ma:displayName="Meeting Start Date" ma:format="DateOnly" ma:internalName="MDDBStartDate">
      <xsd:simpleType>
        <xsd:restriction base="dms:DateTime"/>
      </xsd:simpleType>
    </xsd:element>
    <xsd:element name="MDDBEndDate" ma:index="13" nillable="true" ma:displayName="Meeting End Date" ma:format="DateOnly" ma:internalName="MDDBEndDate">
      <xsd:simpleType>
        <xsd:restriction base="dms:DateTime"/>
      </xsd:simpleType>
    </xsd:element>
    <xsd:element name="MDDBMeetingName" ma:index="14" nillable="true" ma:displayName="Meeting Name" ma:internalName="MDDBMeetingName">
      <xsd:simpleType>
        <xsd:restriction base="dms:Note"/>
      </xsd:simpleType>
    </xsd:element>
    <xsd:element name="MDDBVenEco" ma:index="15" nillable="true" ma:displayName="Meeting Venue - Economy" ma:format="Dropdown" ma:internalName="MDDBVenEco">
      <xsd:simpleType>
        <xsd:restriction base="dms:Choice">
          <xsd:enumeration value="Australia"/>
          <xsd:enumeration value="Brunei Darussalam"/>
          <xsd:enumeration value="Canada"/>
          <xsd:enumeration value="Chile"/>
          <xsd:enumeration value="China"/>
          <xsd:enumeration value="Hong Kong, China"/>
          <xsd:enumeration value="Indonesia"/>
          <xsd:enumeration value="Japan"/>
          <xsd:enumeration value="Korea"/>
          <xsd:enumeration value="Malaysia"/>
          <xsd:enumeration value="Mexico"/>
          <xsd:enumeration value="New Zealand"/>
          <xsd:enumeration value="Papua New Guinea"/>
          <xsd:enumeration value="Peru"/>
          <xsd:enumeration value="Philippines"/>
          <xsd:enumeration value="Russia"/>
          <xsd:enumeration value="Singapore"/>
          <xsd:enumeration value="Chinese Taipei"/>
          <xsd:enumeration value="Thailand"/>
          <xsd:enumeration value="United States"/>
          <xsd:enumeration value="Viet Nam"/>
        </xsd:restriction>
      </xsd:simpleType>
    </xsd:element>
    <xsd:element name="MDDBVenCity" ma:index="16" nillable="true" ma:displayName="Meeting Venue - City" ma:format="Dropdown" ma:internalName="MDDBVenCity">
      <xsd:simpleType>
        <xsd:union memberTypes="dms:Text">
          <xsd:simpleType>
            <xsd:restriction base="dms:Choice">
              <xsd:enumeration value="Acapulco"/>
              <xsd:enumeration value="Adelaide"/>
              <xsd:enumeration value="Antofagasta"/>
              <xsd:enumeration value="Arequipa"/>
              <xsd:enumeration value="Auckland"/>
              <xsd:enumeration value="Ayutthaya"/>
              <xsd:enumeration value="Bandar Seri Begawan"/>
              <xsd:enumeration value="Bandung"/>
              <xsd:enumeration value="Bangkok"/>
              <xsd:enumeration value="Bali"/>
              <xsd:enumeration value="Beijing"/>
              <xsd:enumeration value="Beppu"/>
              <xsd:enumeration value="Big Sky"/>
              <xsd:enumeration value="Blake's Island"/>
              <xsd:enumeration value="Bogor"/>
              <xsd:enumeration value="Bohol"/>
              <xsd:enumeration value="Brisbane"/>
              <xsd:enumeration value="Busan"/>
              <xsd:enumeration value="Cairns"/>
              <xsd:enumeration value="Calgary"/>
              <xsd:enumeration value="Callao"/>
              <xsd:enumeration value="Canberra"/>
              <xsd:enumeration value="Cancun"/>
              <xsd:enumeration value="Cebu"/>
              <xsd:enumeration value="Chejudo"/>
              <xsd:enumeration value="Chiang Mai"/>
              <xsd:enumeration value="Chiang Rai"/>
              <xsd:enumeration value="Chicago"/>
              <xsd:enumeration value="Chiclayo"/>
              <xsd:enumeration value="Christchurch"/>
              <xsd:enumeration value="Coolum"/>
              <xsd:enumeration value="Cusco"/>
              <xsd:enumeration value="Da Nang"/>
              <xsd:enumeration value="Daegu"/>
              <xsd:enumeration value="Daejong"/>
              <xsd:enumeration value="Dalian"/>
              <xsd:enumeration value="Darwin"/>
              <xsd:enumeration value="Davao"/>
              <xsd:enumeration value="Edmonton"/>
              <xsd:enumeration value="Fukui"/>
              <xsd:enumeration value="Fukuoka"/>
              <xsd:enumeration value="Genting Highlands"/>
              <xsd:enumeration value="Gifu"/>
              <xsd:enumeration value="Ginowan"/>
              <xsd:enumeration value="Gold Coast"/>
              <xsd:enumeration value="Guadalajara"/>
              <xsd:enumeration value="Gwangju"/>
              <xsd:enumeration value="Gyeongju"/>
              <xsd:enumeration value="Ha Noi"/>
              <xsd:enumeration value="Hangzhou"/>
              <xsd:enumeration value="Hawaii"/>
              <xsd:enumeration value="Himeji"/>
              <xsd:enumeration value="Hiroshima"/>
              <xsd:enumeration value="Ho Chi Minh City"/>
              <xsd:enumeration value="Hobart"/>
              <xsd:enumeration value="Hoi An"/>
              <xsd:enumeration value="Hong Kong, China"/>
              <xsd:enumeration value="Hualien"/>
              <xsd:enumeration value="Incheon"/>
              <xsd:enumeration value="Iquitos"/>
              <xsd:enumeration value="Ixtapa"/>
              <xsd:enumeration value="Jakarta"/>
              <xsd:enumeration value="Jeju"/>
              <xsd:enumeration value="Jerudong"/>
              <xsd:enumeration value="Jinju"/>
              <xsd:enumeration value="Kananaskis"/>
              <xsd:enumeration value="Kanazawa"/>
              <xsd:enumeration value="Kaohsiung"/>
              <xsd:enumeration value="Khanh Hoa Province"/>
              <xsd:enumeration value="Khon Kaen"/>
              <xsd:enumeration value="Kitakyushu"/>
              <xsd:enumeration value="Kuala Lumpur"/>
              <xsd:enumeration value="Kuantan"/>
              <xsd:enumeration value="Kuching"/>
              <xsd:enumeration value="Kumamoto"/>
              <xsd:enumeration value="Kunming"/>
              <xsd:enumeration value="Kyongju"/>
              <xsd:enumeration value="Kyoto"/>
              <xsd:enumeration value="Langkawi"/>
              <xsd:enumeration value="Lima"/>
              <xsd:enumeration value="Lombok"/>
              <xsd:enumeration value="Los Cabos"/>
              <xsd:enumeration value="Makati"/>
              <xsd:enumeration value="Malacca"/>
              <xsd:enumeration value="Manila"/>
              <xsd:enumeration value="Manzanillo"/>
              <xsd:enumeration value="Melbourne"/>
              <xsd:enumeration value="Merida"/>
              <xsd:enumeration value="Mexico City"/>
              <xsd:enumeration value="Miyazaki"/>
              <xsd:enumeration value="Montreal"/>
              <xsd:enumeration value="Morelia"/>
              <xsd:enumeration value="Moscow"/>
              <xsd:enumeration value="Nara"/>
              <xsd:enumeration value="Nha Trang"/>
              <xsd:enumeration value="Niigata"/>
              <xsd:enumeration value="Oakland"/>
              <xsd:enumeration value="Okinawa"/>
              <xsd:enumeration value="Osaka"/>
              <xsd:enumeration value="Ottawa"/>
              <xsd:enumeration value="Paracas"/>
              <xsd:enumeration value="Pattaya"/>
              <xsd:enumeration value="Penang"/>
              <xsd:enumeration value="Perth"/>
              <xsd:enumeration value="Petchburi"/>
              <xsd:enumeration value="Phuket"/>
              <xsd:enumeration value="Piura"/>
              <xsd:enumeration value="Port Douglas"/>
              <xsd:enumeration value="Port Moresby"/>
              <xsd:enumeration value="Portland"/>
              <xsd:enumeration value="Pucón"/>
              <xsd:enumeration value="Puerto Vallarta"/>
              <xsd:enumeration value="Puerto Varas"/>
              <xsd:enumeration value="Punta Arenas"/>
              <xsd:enumeration value="Qingdao"/>
              <xsd:enumeration value="Quang Ninh Province"/>
              <xsd:enumeration value="Quebec"/>
              <xsd:enumeration value="Queensland"/>
              <xsd:enumeration value="Ranzan"/>
              <xsd:enumeration value="Rotorua"/>
              <xsd:enumeration value="San Diego"/>
              <xsd:enumeration value="San Francisco"/>
              <xsd:enumeration value="Sandakan"/>
              <xsd:enumeration value="Santiago"/>
              <xsd:enumeration value="Sapporo"/>
              <xsd:enumeration value="Seattle"/>
              <xsd:enumeration value="Sendai"/>
              <xsd:enumeration value="Seoul"/>
              <xsd:enumeration value="Shanghai"/>
              <xsd:enumeration value="Shenyang"/>
              <xsd:enumeration value="Shenzhen"/>
              <xsd:enumeration value="Shizuoka"/>
              <xsd:enumeration value="Sidney"/>
              <xsd:enumeration value="Singapore"/>
              <xsd:enumeration value="Southern Highlands, NSW"/>
              <xsd:enumeration value="St. John's"/>
              <xsd:enumeration value="St. Petersburg"/>
              <xsd:enumeration value="Subic"/>
              <xsd:enumeration value="Suzhou"/>
              <xsd:enumeration value="Sydney"/>
              <xsd:enumeration value="Taipei"/>
              <xsd:enumeration value="Terengganu"/>
              <xsd:enumeration value="Ternate"/>
              <xsd:enumeration value="Tokyo"/>
              <xsd:enumeration value="Toronto"/>
              <xsd:enumeration value="Trujillo"/>
              <xsd:enumeration value="Ulsan"/>
              <xsd:enumeration value="Vancouver"/>
              <xsd:enumeration value="Victoria"/>
              <xsd:enumeration value="Viña del Mar"/>
              <xsd:enumeration value="Vladivostok"/>
              <xsd:enumeration value="Washington, D.C."/>
              <xsd:enumeration value="Wellington"/>
              <xsd:enumeration value="Williamsburg"/>
              <xsd:enumeration value="Yogyakarta"/>
              <xsd:enumeration value="Yokohama"/>
              <xsd:enumeration value="Yuzhno-Sakhalinsk"/>
            </xsd:restriction>
          </xsd:simpleType>
        </xsd:union>
      </xsd:simpleType>
    </xsd:element>
    <xsd:element name="MDDBGroup" ma:index="17" nillable="true" ma:displayName="APEC Group" ma:internalName="MDDBGroup">
      <xsd:complexType>
        <xsd:complexContent>
          <xsd:extension base="dms:MultiChoice">
            <xsd:sequence>
              <xsd:element name="Value" maxOccurs="unbounded" minOccurs="0" nillable="true">
                <xsd:simpleType>
                  <xsd:restriction base="dms:Choice">
                    <xsd:enumeration value="Agricultural Technical Cooperation Working Group (ATCWG)"/>
                    <xsd:enumeration value="Anti-Corruption and Transparency Experts Task Force (ACT)"/>
                    <xsd:enumeration value="Anti-Corruption and Transparency Experts Working Group (ACTWG)"/>
                    <xsd:enumeration value="APEC Ministerial Meetings (AMM)"/>
                    <xsd:enumeration value="APEC Economic Leaders' Meeting (AELM)"/>
                    <xsd:enumeration value="Automotive Dialogue (AD)"/>
                    <xsd:enumeration value="Avian and Influenza Pandemics Ministerial Meeting (AIPMM)"/>
                    <xsd:enumeration value="Budget and Management Committee (BMC)"/>
                    <xsd:enumeration value="Business Mobility Group (BMG)"/>
                    <xsd:enumeration value="Chemical Dialogue (CD)"/>
                    <xsd:enumeration value="Committee on Trade and Investment (CTI)"/>
                    <xsd:enumeration value="Committee on Trade and Investment Groups"/>
                    <xsd:enumeration value="Committees"/>
                    <xsd:enumeration value="Competition Policy and Deregulation Group (CPDG)"/>
                    <xsd:enumeration value="Competition Policy and Law Group (CPLG)"/>
                    <xsd:enumeration value="Counter-Terrorism Task Force (CTTF)"/>
                    <xsd:enumeration value="Cultural Focal Point Network (CFPN)"/>
                    <xsd:enumeration value="Economic Committee (EC)"/>
                    <xsd:enumeration value="Education Ministerial Meetings (AEMM)"/>
                    <xsd:enumeration value="Electronic Commerce Steering Group (ECSG)"/>
                    <xsd:enumeration value="Emergency Preparedness Working Group (EPWG)"/>
                    <xsd:enumeration value="Energy Ministerial Meetings (EMM)"/>
                    <xsd:enumeration value="Energy Working Group (EWG)"/>
                    <xsd:enumeration value="Environment Ministerial Meetings (ENVMM)"/>
                    <xsd:enumeration value="Finance Ministerial Meetings (FMM)"/>
                    <xsd:enumeration value="Finance Ministers' Process (FMP)"/>
                    <xsd:enumeration value="Fisheries Working Group (FWG)"/>
                    <xsd:enumeration value="Food Security Ministerial Meetings (FSMM)"/>
                    <xsd:enumeration value="Forestry Ministerial Meetings (FTMM)"/>
                    <xsd:enumeration value="Gender Focal Point Network (GFPN)"/>
                    <xsd:enumeration value="Government Procurement Experts' Group (GPEG)"/>
                    <xsd:enumeration value="Group on Services (GOS)"/>
                    <xsd:enumeration value="Growth Strategy High-Level Policy Round Table (HLRT)"/>
                    <xsd:enumeration value="Health Ministerial Meetings (HMM)"/>
                    <xsd:enumeration value="Health Task Force (HTF)"/>
                    <xsd:enumeration value="Health Working Group (HWG)"/>
                    <xsd:enumeration value="High Level Meeting on Health and the Economy (HLM-HE)"/>
                    <xsd:enumeration value="High Level Policy Dialogue on Agricultural Biotechnology (HLPDAB)"/>
                    <xsd:enumeration value="High Level Policy Dialogue on Disaster Resiliency (HLPD-DR)"/>
                    <xsd:enumeration value="High Level Policy Dialogue on Open Governance and Economic Growth (HLPD-OGEG)"/>
                    <xsd:enumeration value="High Level Policy Dialogue on Women and the Economy (HLPD-WE)"/>
                    <xsd:enumeration value="Human Resource Development Ministerial Meetings (HRDMM)"/>
                    <xsd:enumeration value="Human Resources Development Working Group (HRDWG)"/>
                    <xsd:enumeration value="Industrial Science and Technology Working Group (ISTWG)"/>
                    <xsd:enumeration value="Informal Experts' Group on Business Mobility (IEGBM)"/>
                    <xsd:enumeration value="Intellectual Property Rights Experts' Group (IPEG)"/>
                    <xsd:enumeration value="Investment Experts' Group (IEG)"/>
                    <xsd:enumeration value="Life Sciences Innovation Forum (LSIF)"/>
                    <xsd:enumeration value="Marine Resource Conservation Working Group (MRCWG)"/>
                    <xsd:enumeration value="Market Access Group (MAG)"/>
                    <xsd:enumeration value="Mining Ministerial Meetings (MRM)"/>
                    <xsd:enumeration value="Mining Task Force (MTF)"/>
                    <xsd:enumeration value="Non-Ferrous Metals Dialogue (NFMD)"/>
                    <xsd:enumeration value="Ocean and Fisheries Working Group (OFWG)"/>
                    <xsd:enumeration value="Ocean-Related Ministerial Meetings (OMM)"/>
                    <xsd:enumeration value="Other APEC Groups"/>
                    <xsd:enumeration value="Policy Partnership on Women and the Economy (PPWE)"/>
                    <xsd:enumeration value="Science and Technology Ministerial Meetings (STMM)"/>
                    <xsd:enumeration value="Sectoral Ministerial Meetings"/>
                    <xsd:enumeration value="Senior Officials' Meeting Task Groups"/>
                    <xsd:enumeration value="Senior Officials' Meetings (SOM)"/>
                    <xsd:enumeration value="Small and Medium Enterprises Ministerial Meetings (SMEMM)"/>
                    <xsd:enumeration value="Small and Medium Enterprises Working Group (SMEWG)"/>
                    <xsd:enumeration value="Social Safety Net Capacity Building Network (SSN-CBN)"/>
                    <xsd:enumeration value="SOM Steering Committee on Economic and Technical Cooperation (SCE)"/>
                    <xsd:enumeration value="Strengthening Economic Legal Infrastructure (SELI)"/>
                    <xsd:enumeration value="Structural Reform Ministerial Meetings (SRMM)"/>
                    <xsd:enumeration value="Sub-Committee on Customs Procedures (SCCP)"/>
                    <xsd:enumeration value="Sub-Committee on Standards and Conformance (SCSC)"/>
                    <xsd:enumeration value="Sustainable Development (SD)"/>
                    <xsd:enumeration value="Sustainable Development Ministerial Meetings (SDMM)"/>
                    <xsd:enumeration value="Task Force on Emergency Preparedness (TFEP)"/>
                    <xsd:enumeration value="Telecommunications and Information Ministerial Meetings (TELMIN)"/>
                    <xsd:enumeration value="Telecommunications and Information Working Group (TEL)"/>
                    <xsd:enumeration value="Tourism Ministerial Meetings (TMM)"/>
                    <xsd:enumeration value="Tourism Working Group (TWG)"/>
                    <xsd:enumeration value="Trade Ministerial Meetings (MRT)"/>
                    <xsd:enumeration value="Trade Promotion Working Group (WGTP)"/>
                    <xsd:enumeration value="Transportation Ministerial Meetings (TPTMM)"/>
                    <xsd:enumeration value="Transportation Working Group (TPTWG)"/>
                    <xsd:enumeration value="Women Ministerial Meetings (WMM)"/>
                    <xsd:enumeration value="Working Groups"/>
                    <xsd:enumeration value="WTO Capacity Building Group (WCBG)"/>
                  </xsd:restriction>
                </xsd:simpleType>
              </xsd:element>
            </xsd:sequence>
          </xsd:extension>
        </xsd:complexContent>
      </xsd:complexType>
    </xsd:element>
    <xsd:element name="MDDBSubEco" ma:index="18" nillable="true" ma:displayName="Submitted by - Economies" ma:internalName="MDDBSubEco">
      <xsd:complexType>
        <xsd:complexContent>
          <xsd:extension base="dms:MultiChoice">
            <xsd:sequence>
              <xsd:element name="Value" maxOccurs="unbounded" minOccurs="0" nillable="true">
                <xsd:simpleType>
                  <xsd:restriction base="dms:Choice">
                    <xsd:enumeration value="Australia"/>
                    <xsd:enumeration value="Brunei Darussalam"/>
                    <xsd:enumeration value="Cambodia"/>
                    <xsd:enumeration value="Canada"/>
                    <xsd:enumeration value="Chile"/>
                    <xsd:enumeration value="China"/>
                    <xsd:enumeration value="Colombia"/>
                    <xsd:enumeration value="Costa Rica"/>
                    <xsd:enumeration value="Croatia"/>
                    <xsd:enumeration value="Dominican Republic"/>
                    <xsd:enumeration value="Egypt"/>
                    <xsd:enumeration value="France"/>
                    <xsd:enumeration value="Hong Kong, China"/>
                    <xsd:enumeration value="Hungary"/>
                    <xsd:enumeration value="India"/>
                    <xsd:enumeration value="Indonesia"/>
                    <xsd:enumeration value="Ireland"/>
                    <xsd:enumeration value="Japan"/>
                    <xsd:enumeration value="Korea"/>
                    <xsd:enumeration value="Laos"/>
                    <xsd:enumeration value="Macao, China"/>
                    <xsd:enumeration value="Malaysia"/>
                    <xsd:enumeration value="Mexico"/>
                    <xsd:enumeration value="Netherlands"/>
                    <xsd:enumeration value="New Zealand"/>
                    <xsd:enumeration value="Papua New Guinea"/>
                    <xsd:enumeration value="Peru"/>
                    <xsd:enumeration value="Philippines"/>
                    <xsd:enumeration value="Poland"/>
                    <xsd:enumeration value="Russia"/>
                    <xsd:enumeration value="Saudi Arabia"/>
                    <xsd:enumeration value="Singapore"/>
                    <xsd:enumeration value="Sweden"/>
                    <xsd:enumeration value="Chinese Taipei"/>
                    <xsd:enumeration value="Thailand"/>
                    <xsd:enumeration value="United Kingdom"/>
                    <xsd:enumeration value="United States"/>
                    <xsd:enumeration value="Viet Nam"/>
                  </xsd:restriction>
                </xsd:simpleType>
              </xsd:element>
            </xsd:sequence>
          </xsd:extension>
        </xsd:complexContent>
      </xsd:complexType>
    </xsd:element>
    <xsd:element name="MDDBSubGroup" ma:index="19" nillable="true" ma:displayName="Submitted by - APEC Group" ma:internalName="MDDBSubGroup">
      <xsd:complexType>
        <xsd:complexContent>
          <xsd:extension base="dms:MultiChoice">
            <xsd:sequence>
              <xsd:element name="Value" maxOccurs="unbounded" minOccurs="0" nillable="true">
                <xsd:simpleType>
                  <xsd:restriction base="dms:Choice">
                    <xsd:enumeration value="Ad Hoc Advisory Group on Gender Integration (AGGI)"/>
                    <xsd:enumeration value="Agricultural Technical Cooperation Working Group (ATCWG)"/>
                    <xsd:enumeration value="Anti-Corruption and Transparency Experts Task Force (ACT)"/>
                    <xsd:enumeration value="Anti-Corruption and Transparency Experts Working Group (ACTWG)"/>
                    <xsd:enumeration value="APEC Business Advisory Council (ABAC)"/>
                    <xsd:enumeration value="APEC Climate Center (APCC)"/>
                    <xsd:enumeration value="APEC E-Commerce Business Alliance (ECBA)"/>
                    <xsd:enumeration value="APEC Economic Leaders' Meeting (AELM)"/>
                    <xsd:enumeration value="APEC Education Foundation"/>
                    <xsd:enumeration value="APEC Harmonization Center"/>
                    <xsd:enumeration value="APEC International Centre for Sustainable Tourism (AICST)"/>
                    <xsd:enumeration value="APEC Ministerial Meetings (AMM)"/>
                    <xsd:enumeration value="APEC Secretariat"/>
                    <xsd:enumeration value="APEC SME Innovation Center (SMEIC)"/>
                    <xsd:enumeration value="APEC Study Centre - Australia"/>
                    <xsd:enumeration value="APEC Study Center - China"/>
                    <xsd:enumeration value="APEC Study Centre - New Zealand"/>
                    <xsd:enumeration value="APEC Study Centre Consortium (ASCC)"/>
                    <xsd:enumeration value="Automotive Dialogue (AD)"/>
                    <xsd:enumeration value="Avian and Influenza Pandemics Ministerial Meeting (AIPMM)"/>
                    <xsd:enumeration value="Budget and Management Committee (BMC)"/>
                    <xsd:enumeration value="Business Mobility Group (BMG)"/>
                    <xsd:enumeration value="Capacity Building Network (CBN) - Human Resources Development Working Group (HRDWG)"/>
                    <xsd:enumeration value="Chemical Dialogue (CD)"/>
                    <xsd:enumeration value="Committee on Trade and Investment (CTI)"/>
                    <xsd:enumeration value="Competition Policy and Deregulation Group (CPDG)"/>
                    <xsd:enumeration value="Competition Policy and Law Group (CPLG)"/>
                    <xsd:enumeration value="Counter-Terrorism Task Force (CTTF)"/>
                    <xsd:enumeration value="Cross-Border Rules Study Group - Electronic Commerce Steering Group (ECSG)"/>
                    <xsd:enumeration value="Cultural Focal Point Network (CFPN)"/>
                    <xsd:enumeration value="Data Privacy Subgroup (DPS) - Electronic Commerce Steering Group (ECSG)"/>
                    <xsd:enumeration value="Economic Committee (EC)"/>
                    <xsd:enumeration value="Education Ministerial Meetings (AEMM)"/>
                    <xsd:enumeration value="Education Network (EDNET) - Human Resources Development Working Group (HRDWG)"/>
                    <xsd:enumeration value="Electronic Commerce Steering Group (ECSG)"/>
                    <xsd:enumeration value="Emergency Preparedness Working Group (EPWG)"/>
                    <xsd:enumeration value="Energy Ministerial Meetings (EMM)"/>
                    <xsd:enumeration value="Energy Working Group (EWG)"/>
                    <xsd:enumeration value="Energy Working Group Biofuels Task Force (BTF)"/>
                    <xsd:enumeration value="Energy Working Group Business Network (EBN)"/>
                    <xsd:enumeration value="Energy Working Group Expert Group on Clean Fossil Energy (EGCFE)"/>
                    <xsd:enumeration value="Energy Working Group Expert Group on Energy Data &amp; Analysis (EGEDA)"/>
                    <xsd:enumeration value="Energy Working Group Expert Group on Energy Efficiency &amp; Conservation (EGEEC)"/>
                    <xsd:enumeration value="Energy Working Group Expert Group on New and Renewable Energy Technologies (EGNRET)"/>
                    <xsd:enumeration value="Energy Working Group Energy Trade and Investment Task Force (ETITF)"/>
                    <xsd:enumeration value="Environment Ministerial Meetings (ENVMM)"/>
                    <xsd:enumeration value="Finance Ministerial Meetings (FMM)"/>
                    <xsd:enumeration value="Finance Ministers' Process (FMP)"/>
                    <xsd:enumeration value="Fisheries Working Group (FWG)"/>
                    <xsd:enumeration value="Food Security Ministerial Meetings (FSMM)"/>
                    <xsd:enumeration value="Forestry Ministerial Meetings (FTMM)"/>
                    <xsd:enumeration value="Friends of the Chair (FOTC) - Action Plan"/>
                    <xsd:enumeration value="Friends of the Chair (FOTC) - Committee on Trade and Investment (CTI)"/>
                    <xsd:enumeration value="Friends of the Chair (FOTC) - Reform"/>
                    <xsd:enumeration value="Friends of the Chair (FOTC) - RTAs/FTAs"/>
                    <xsd:enumeration value="Friends of the Chair (FOTC) - Trade Facilitation"/>
                    <xsd:enumeration value="Friends of the Chair (FOTC) - Transparency and Anti-Corruption"/>
                    <xsd:enumeration value="Gender Focal Point Network (GFPN)"/>
                    <xsd:enumeration value="Geneva APEC Caucus"/>
                    <xsd:enumeration value="Government Procurement Experts' Group (GPEG)"/>
                    <xsd:enumeration value="Group on Services (GOS)"/>
                    <xsd:enumeration value="Health Ministerial Meetings (HMM)"/>
                    <xsd:enumeration value="Health Task Force (HTF)"/>
                    <xsd:enumeration value="Health Working Group (HWG)"/>
                    <xsd:enumeration value="High Level Meeting on Health and the Economy (HLM-HE)"/>
                    <xsd:enumeration value="High Level Policy Dialogue on Agricultural Biotechnology (HLPDAB)"/>
                    <xsd:enumeration value="High Level Policy Dialogue on Disaster Resiliency (HLPD-DR)"/>
                    <xsd:enumeration value="High Level Policy Dialogue on Open Governance and Economic Growth (HLPD-OGEG)"/>
                    <xsd:enumeration value="High Level Policy Dialogue on Women and the Economy (HLPD-WE)"/>
                    <xsd:enumeration value="Human Resource Development Ministerial Meetings (HRDMM)"/>
                    <xsd:enumeration value="Human Resources Development Working Group (HRDWG)"/>
                    <xsd:enumeration value="ICT Development Steering Group (DSG) - Telecommunications and Information Working Group (TEL)"/>
                    <xsd:enumeration value="Industrial Science and Technology Working Group (ISTWG)"/>
                    <xsd:enumeration value="Informal Experts' Group on Business Mobility (IEGBM)"/>
                    <xsd:enumeration value="Intellectual Property Rights Experts' Group (IPEG)"/>
                    <xsd:enumeration value="Investment Experts' Group (IEG)"/>
                    <xsd:enumeration value="Joint Advisory Committee (JAC)- Sub-Committee on Standards and Conformance (SCSC)"/>
                    <xsd:enumeration value="Labour and Social Protection Network (LSPN) - Human Resources Development Working Group (HRDWG)"/>
                    <xsd:enumeration value="Liberalization Steering Group (LSG) - Telecommunications and Information Working Group (TEL)"/>
                    <xsd:enumeration value="Life Sciences Innovation Forum (LSIF)"/>
                    <xsd:enumeration value="Marine Resource Conservation Working Group (MRCWG)"/>
                    <xsd:enumeration value="Market Access Group (MAG)"/>
                    <xsd:enumeration value="Micro-Enterprises Sub-Group (MESG) - Small and Medium Enterprises Working Group (SMEWG)"/>
                    <xsd:enumeration value="Mid-Term Stocktake Steering Group"/>
                    <xsd:enumeration value="Mining Ministerial Meetings (MRM)"/>
                    <xsd:enumeration value="Mining Task Force (MTF)"/>
                    <xsd:enumeration value="Mutual Recognition Arrangement Task Force (MRATF) - Telecommunications and Information Working Group (TEL)"/>
                    <xsd:enumeration value="Non-Ferrous Metals Dialogue (NFMD)"/>
                    <xsd:enumeration value="Ocean and Fisheries Working Group (OFWG)"/>
                    <xsd:enumeration value="Ocean-Related Ministerial Meetings (OMM)"/>
                    <xsd:enumeration value="Paperless Trading Subgroup (PTS) - Electronic Commerce Steering Group (ECSG)"/>
                    <xsd:enumeration value="Policy Partnership on Women and the Economy (PPWE)"/>
                    <xsd:enumeration value="Regulatory Harmonization Steering Committee (RHSC) - Life Sciences Innovation Forum (LSIF)"/>
                    <xsd:enumeration value="Research, Development and Extension of Agricultural Biotechnology (RDEAB) - Agriculture Technical Cooperation Working Group (ATCWG)"/>
                    <xsd:enumeration value="Science and Technology Ministerial Meetings (STMM)"/>
                    <xsd:enumeration value="Security and Prosperity Steering Group (SPSG) - Telecommunications and Information Working Group (TEL)"/>
                    <xsd:enumeration value="Senior Officials' Meetings (SOM)"/>
                    <xsd:enumeration value="Single Window Working Group (SWWG) - Sub-Committee on Customs Procedures (SCCP)"/>
                    <xsd:enumeration value="Small and Medium Enterprises Ministerial Meetings (SMEMM)"/>
                    <xsd:enumeration value="Small and Medium Enterprises Working Group (SMEWG)"/>
                    <xsd:enumeration value="Social Safety Net Capacity Building Network (SSN-CBN)"/>
                    <xsd:enumeration value="SOM Committee on Economic and Technical Cooperation (ESC)"/>
                    <xsd:enumeration value="SOM Steering Committee on Economic and Technical Cooperation (SCE)"/>
                    <xsd:enumeration value="Strengthening Economic Legal Infrastructure (SELI)"/>
                    <xsd:enumeration value="Structural Reform Ministerial Meetings (SRMM)"/>
                    <xsd:enumeration value="Sub-Committee on Customs Procedures (SCCP)"/>
                    <xsd:enumeration value="Sub-Committee on Standards and Conformance (SCSC)"/>
                    <xsd:enumeration value="Sustainable Development Ministerial Meetings (SDMM)"/>
                    <xsd:enumeration value="Task Force on Emergency Preparedness (TFEP)"/>
                    <xsd:enumeration value="Telecommunications and Information Ministerial Meetings (TELMIN)"/>
                    <xsd:enumeration value="Telecommunications and Information Working Group (TEL)"/>
                    <xsd:enumeration value="Tourism Ministerial Meetings (TMM)"/>
                    <xsd:enumeration value="Tourism Working Group (TWG)"/>
                    <xsd:enumeration value="Trade Ministerial Meetings (MRT)"/>
                    <xsd:enumeration value="Trade Promotion Working Group (WGTP)"/>
                    <xsd:enumeration value="Transportation Ministerial Meetings (TPTMM)"/>
                    <xsd:enumeration value="Transportation Working Group (TPTWG)"/>
                    <xsd:enumeration value="Women Ministerial Meetings (WMM)"/>
                    <xsd:enumeration value="WTO Capacity Building Group (WCBG)"/>
                  </xsd:restriction>
                </xsd:simpleType>
              </xsd:element>
            </xsd:sequence>
          </xsd:extension>
        </xsd:complexContent>
      </xsd:complexType>
    </xsd:element>
    <xsd:element name="MDDBSubOrg" ma:index="20" nillable="true" ma:displayName="Submitted by - Organisations" ma:internalName="MDDBSubOrg">
      <xsd:complexType>
        <xsd:complexContent>
          <xsd:extension base="dms:MultiChoiceFillIn">
            <xsd:sequence>
              <xsd:element name="Value" maxOccurs="unbounded" minOccurs="0" nillable="true">
                <xsd:simpleType>
                  <xsd:union memberTypes="dms:Text">
                    <xsd:simpleType>
                      <xsd:restriction base="dms:Choice">
                        <xsd:enumeration value="3M"/>
                        <xsd:enumeration value="a2peak Power"/>
                        <xsd:enumeration value="A.S. Louken Group Pte Ltd"/>
                        <xsd:enumeration value="Abbott Laboratories"/>
                        <xsd:enumeration value="Accenture"/>
                        <xsd:enumeration value="ACCORD Australasia Limited"/>
                        <xsd:enumeration value="ACP Computer Training and Consultancy"/>
                        <xsd:enumeration value="Action Community for Entrepreneurship (ACE)"/>
                        <xsd:enumeration value="Acushnet Company"/>
                        <xsd:enumeration value="Advanced Material On Technology (AMOTECH)"/>
                        <xsd:enumeration value="Advanced Medical Technology Association (AdvaMed)"/>
                        <xsd:enumeration value="Advanced Micro Devices"/>
                        <xsd:enumeration value="Aeropuertos del Perú"/>
                        <xsd:enumeration value="Age-friendly New York City"/>
                        <xsd:enumeration value="Age Wave"/>
                        <xsd:enumeration value="Agencia Chilena de Eficiencia. Energética (ACHEE)"/>
                        <xsd:enumeration value="Agilent Technologies"/>
                        <xsd:enumeration value="Agrícola Athos S.A."/>
                        <xsd:enumeration value="Air-Conditioning, Heating, and Refrigeration Institute (AHRI)"/>
                        <xsd:enumeration value="Airspan"/>
                        <xsd:enumeration value="Ajou University"/>
                        <xsd:enumeration value="Alam Sekitar Malaysia Sdn Bhd (ASMA)"/>
                        <xsd:enumeration value="Alcatel-Lucent"/>
                        <xsd:enumeration value="Alhen"/>
                        <xsd:enumeration value="Alita"/>
                        <xsd:enumeration value="All Real Technology Co., Ltd"/>
                        <xsd:enumeration value="All-Russia Market Research Institute (VNIKI)"/>
                        <xsd:enumeration value="Allen &amp; Gledhill LLP"/>
                        <xsd:enumeration value="Alliance for Financial Inclusion (AFI)"/>
                        <xsd:enumeration value="Alliance to Save Energy"/>
                        <xsd:enumeration value="Alpamayo Entertainment"/>
                        <xsd:enumeration value="Alston &amp; Bird LLP"/>
                        <xsd:enumeration value="American Automotive Policy Council (AAPC)"/>
                        <xsd:enumeration value="American Bar Association"/>
                        <xsd:enumeration value="American Chamber of Commerce (Singapore)"/>
                        <xsd:enumeration value="American Chemistry Council"/>
                        <xsd:enumeration value="American Commercial Transport"/>
                        <xsd:enumeration value="American Forest &amp; Paper Association (AF&amp;PA)"/>
                        <xsd:enumeration value="American Council for an Energy-Efficient Economy (ACEEE)"/>
                        <xsd:enumeration value="American Institute of Certified Public Accountants (AICPA)"/>
                        <xsd:enumeration value="American National Standards Institute (ANSI)"/>
                        <xsd:enumeration value="American Registry for Internet Numbers (ARIN)"/>
                        <xsd:enumeration value="American Science and Engineering, Inc. (AS&amp;E)"/>
                        <xsd:enumeration value="American Society of Heating, Refrigerating and Air-Conditioning Engineers (ASHRAE)"/>
                        <xsd:enumeration value="AmericanTCB (ATCB)"/>
                        <xsd:enumeration value="Ancora Capital Management"/>
                        <xsd:enumeration value="Animation Council of the Philippines, Inc. (ACPI)"/>
                        <xsd:enumeration value="Antamina"/>
                        <xsd:enumeration value="Aoyama Gakuin University"/>
                        <xsd:enumeration value="APL Limited"/>
                        <xsd:enumeration value="Applied Materials (AMAT)"/>
                        <xsd:enumeration value="Aquatec-Maxcon"/>
                        <xsd:enumeration value="Arbortech"/>
                        <xsd:enumeration value="Arcadia Biosciences"/>
                        <xsd:enumeration value="Armstrong"/>
                        <xsd:enumeration value="Arnold &amp; Porter LLP"/>
                        <xsd:enumeration value="Arizona State University (ASU)"/>
                        <xsd:enumeration value="ASEAN Automotive Federation (AAF)"/>
                        <xsd:enumeration value="ASEAN Business Advisory Council (ASEAN-BAC)"/>
                        <xsd:enumeration value="ASEAN Primary Care Association"/>
                        <xsd:enumeration value="Asia BioBusiness Pte. Ltd"/>
                        <xsd:enumeration value="Asia Injury Prevention Foundation"/>
                        <xsd:enumeration value="Asia Oceania Electronic Marketplace Association (AOEMA)"/>
                        <xsd:enumeration value="Asia Pacific Chemical Industry Coalition (APCIC)"/>
                        <xsd:enumeration value="Asia Pacific Coalition Against Unsolicited Commercial Email (APCAUCE)"/>
                        <xsd:enumeration value="Asia-Pacific Computer Emergency Response Team (APCERT)"/>
                        <xsd:enumeration value="Asia-Pacific Credit Coalition (APCC)"/>
                        <xsd:enumeration value="Asia Pacific Energy Research Centre (APERC)"/>
                        <xsd:enumeration value="Asia-Pacific Finance and Development Center (AFDC)"/>
                        <xsd:enumeration value="Asia Pacific Foundation of Canada (APFC)"/>
                        <xsd:enumeration value="Asia-Pacific Industrial Property Center (APIC)"/>
                        <xsd:enumeration value="Asia Pacific Laboratory Accreditation Cooperation (APLAC)"/>
                        <xsd:enumeration value="Asia-Pacific Legal Metrology Forum (APLMF)"/>
                        <xsd:enumeration value="Asia-Pacific Metrology Programme (APMP)"/>
                        <xsd:enumeration value="Asia-Pacific Network for Sustainable Forest Management and Rehabilitation (APFNet)"/>
                        <xsd:enumeration value="Asia Pacific Network Information Centre ( APNIC)"/>
                        <xsd:enumeration value="Asia Pacific Privacy Authorities (APPA)"/>
                        <xsd:enumeration value="Asia-Pacific Telecommunity (APT)"/>
                        <xsd:enumeration value="Asian Development Bank (ADB)"/>
                        <xsd:enumeration value="Asian Development Bank Institute (ADBI)"/>
                        <xsd:enumeration value="Asian Disaster Preparedness Center (ADPC)"/>
                        <xsd:enumeration value="Asian Disaster Reduction and Response Network (ADRRN)"/>
                        <xsd:enumeration value="Asian Disaster Reduction Center (ADRC)"/>
                        <xsd:enumeration value="Asian Food Information Centre (AFIC)"/>
                        <xsd:enumeration value="Asian Institute of Management"/>
                        <xsd:enumeration value="Asian Institute of Technology (AIT)"/>
                        <xsd:enumeration value="Asian Pacific Women's Information Network Center (APWINC)"/>
                        <xsd:enumeration value="Asociación Chilena de Empresas de Tecnología de Información A.G. (ACTI)"/>
                        <xsd:enumeration value="Asociación de Exportadores (ADEX)"/>
                        <xsd:enumeration value="Asociación de Industrias Metalúrgicas y Metalmecánicas A.G. (ASIMET)"/>
                        <xsd:enumeration value="Asociación de Oficinas de Arquitectos de Chile (AOA)"/>
                        <xsd:enumeration value="Asociación Gremial de Empresas Internacionales de Productos Eléctricos (EPEI)"/>
                        <xsd:enumeration value="Asociación Gremial de Industriales Químicos de Chile (ASIQUIM)"/>
                        <xsd:enumeration value="Asociación Latinoamericana de Integración (ALADI)"/>
                        <xsd:enumeration value="Asociación Mexicana de la Industria Publicitaria y Comercial en el Internet (AMIPCI)"/>
                        <xsd:enumeration value="Asociacion Nacional de Normalizacion y Certificacion del Sector Electrico (ANCE)"/>
                        <xsd:enumeration value="Asociación Peruana de Productores de Software (APESOFT)"/>
                        <xsd:enumeration value="Assenda"/>
                        <xsd:enumeration value="Association Européenne du Cautionnement Mutuel (AECM)"/>
                        <xsd:enumeration value="Association of Accredited Advertising Agencies of Hong Kong (HK4As)"/>
                        <xsd:enumeration value="Association of Credit Rating Agencies in Asia (ACRAA)"/>
                        <xsd:enumeration value="Association of Pacific Rim Universities (APRU)"/>
                        <xsd:enumeration value="Association of Southeast Asian Nations (ASEAN)"/>
                        <xsd:enumeration value="Association of University Technology Managers (AUTM)"/>
                        <xsd:enumeration value="Assumption University"/>
                        <xsd:enumeration value="ASTM International"/>
                        <xsd:enumeration value="AT&amp;T"/>
                        <xsd:enumeration value="Atlas Material Testing Technology"/>
                        <xsd:enumeration value="Auburn University"/>
                        <xsd:enumeration value="Auscott Limited"/>
                        <xsd:enumeration value="Australia and New Zealand School of Government (ANZSOG)"/>
                        <xsd:enumeration value="Australia's National Computer Emergency Response Team (AusCERT)"/>
                        <xsd:enumeration value="Australian Bureau of Agricultural and Resource Economics (ABARE)"/>
                        <xsd:enumeration value="Australian Competition and Consumer Commission (ACCC)"/>
                        <xsd:enumeration value="Australian Electrical and Electronic Manufacturers' Association (AEEMA)"/>
                        <xsd:enumeration value="Australian Emergency Management Volunteer Forum (AEMVF)"/>
                        <xsd:enumeration value="Australian Federation Against Copyright Theft (AFACT)"/>
                        <xsd:enumeration value="Australian Food and Grocery Council (AFGC)"/>
                        <xsd:enumeration value="Australian Industry Greenhouse Network"/>
                        <xsd:enumeration value="Australian Information Industry Association (AIIA)"/>
                        <xsd:enumeration value="Australian Marketing Institute (AMI)"/>
                        <xsd:enumeration value="Australian National University (ANU)"/>
                        <xsd:enumeration value="Australasian Performing Right Association (APRA)"/>
                        <xsd:enumeration value="Australian Petroleum Production &amp; Exploration Association (APPEA)"/>
                        <xsd:enumeration value="Australian Privacy Foundation"/>
                        <xsd:enumeration value="Australian Red Cross"/>
                        <xsd:enumeration value="Australian Water Association (AWA)"/>
                        <xsd:enumeration value="Automotive Parts Remanufacturers Association (APRA)"/>
                        <xsd:enumeration value="Automotive Trade Policy Council (ATPC)"/>
                        <xsd:enumeration value="Avante International Technology, Inc."/>
                        <xsd:enumeration value="Axway"/>
                        <xsd:enumeration value="A-Z Solutions"/>
                        <xsd:enumeration value="AZCA, Inc."/>
                        <xsd:enumeration value="Babcock &amp; Brown Power"/>
                        <xsd:enumeration value="Baker &amp; McKenzie"/>
                        <xsd:enumeration value="Ballard Power Systems"/>
                        <xsd:enumeration value="Banchile Asesoría Financiera S.A."/>
                        <xsd:enumeration value="Bank Bukopin"/>
                        <xsd:enumeration value="Bank of Tokyo-Mitsubishi UFJ, Ltd."/>
                        <xsd:enumeration value="Bank Rakyat Indonesia (BRI)"/>
                        <xsd:enumeration value="Bankable Frontier Associates"/>
                        <xsd:enumeration value="BankThai Public Company Limited"/>
                        <xsd:enumeration value="BASF Petronas Chemicals"/>
                        <xsd:enumeration value="BASIX"/>
                        <xsd:enumeration value="Bauhinia Foundation Research Centre"/>
                        <xsd:enumeration value="Baycorp Advantage"/>
                        <xsd:enumeration value="Bayer CropScience"/>
                        <xsd:enumeration value="BBBOnline"/>
                        <xsd:enumeration value="BD"/>
                        <xsd:enumeration value="BearingPoint"/>
                        <xsd:enumeration value="Bedfordshire Chamber of Commerce"/>
                        <xsd:enumeration value="Beijing Normal University"/>
                        <xsd:enumeration value="Beijing University of Posts and Telecommunication (BUPT)"/>
                        <xsd:enumeration value="Benemann Associates"/>
                        <xsd:enumeration value="Best Buy"/>
                        <xsd:enumeration value="BiD Network"/>
                        <xsd:enumeration value="BII Group"/>
                        <xsd:enumeration value="Bio Economic Research Associates"/>
                        <xsd:enumeration value="Bio-Link Partners Ltd"/>
                        <xsd:enumeration value="bioDevelopments International Institute Inc."/>
                        <xsd:enumeration value="BioEuroLatina"/>
                        <xsd:enumeration value="Biomimicry Group"/>
                        <xsd:enumeration value="Biotechnology and Bioengineering"/>
                        <xsd:enumeration value="Biotechnology Coalition of the Philippines (BCP)"/>
                        <xsd:enumeration value="Biotechnology Industry Organization (BIO)"/>
                        <xsd:enumeration value="BlueScope Steel"/>
                        <xsd:enumeration value="Bloomberg"/>
                        <xsd:enumeration value="Boehmert &amp; Boehmert"/>
                        <xsd:enumeration value="Boeing"/>
                        <xsd:enumeration value="Boost Juice"/>
                        <xsd:enumeration value="Booz Allen Hamilton"/>
                        <xsd:enumeration value="BP"/>
                        <xsd:enumeration value="BP Solar"/>
                        <xsd:enumeration value="Brookings Institution"/>
                        <xsd:enumeration value="Bryan Cave LLP"/>
                        <xsd:enumeration value="BT"/>
                        <xsd:enumeration value="Bunkyo University"/>
                        <xsd:enumeration value="Burrill &amp; Company"/>
                        <xsd:enumeration value="Bursa Malaysia"/>
                        <xsd:enumeration value="Business and Industry Advisory Committee to the OECD (BIAC)"/>
                        <xsd:enumeration value="Business Continuity Management Institute"/>
                        <xsd:enumeration value="Business Processing Association of the Philippines (BPAP)"/>
                        <xsd:enumeration value="Business Software Alliance (BSA)"/>
                        <xsd:enumeration value="CAB International"/>
                        <xsd:enumeration value="Calgary-TELUS Convention Centre"/>
                        <xsd:enumeration value="California Earthquake Authority (CEA)"/>
                        <xsd:enumeration value="Cámara de Comercio de Santiago (CCS)"/>
                        <xsd:enumeration value="Cámara Maritima y Portuaria de Chile A.G."/>
                        <xsd:enumeration value="Cambodian Legal Resources Development Center (CLRDC)"/>
                        <xsd:enumeration value="Canadian Standards Association (CSA)"/>
                        <xsd:enumeration value="Canon"/>
                        <xsd:enumeration value="Capital Markets Association for Asia (CMAA)"/>
                        <xsd:enumeration value="Capital Sisters International"/>
                        <xsd:enumeration value="CARD MRI"/>
                        <xsd:enumeration value="CARE"/>
                        <xsd:enumeration value="Cargill"/>
                        <xsd:enumeration value="Carleton University"/>
                        <xsd:enumeration value="Carnegie Mellon University"/>
                        <xsd:enumeration value="Castalia Advisors"/>
                        <xsd:enumeration value="CAT Telecom Public Company Limited"/>
                        <xsd:enumeration value="Caterpillar"/>
                        <xsd:enumeration value="Catholic University of America (CUA)"/>
                        <xsd:enumeration value="Catholic University of Korea"/>
                        <xsd:enumeration value="CEMEX"/>
                        <xsd:enumeration value="Center for Drug Evaluation"/>
                        <xsd:enumeration value="Center for Information Policy Leadership (CIPL)"/>
                        <xsd:enumeration value="Center for Information Technology Research in the Interest of Society (CITRIS)"/>
                        <xsd:enumeration value="Center for Ocean-Land-Atmosphere Studies (COLA)"/>
                        <xsd:enumeration value="Center for Responsible Travel (CREST)"/>
                        <xsd:enumeration value="Center for Strategic and International Studies (CSIS)"/>
                        <xsd:enumeration value="Center for the Study of Democracy (CSD)"/>
                        <xsd:enumeration value="Central Institute for Economic Management (CIEM)"/>
                        <xsd:enumeration value="Centre for Corporate Social Responsibility (CCSR)"/>
                        <xsd:enumeration value="Centre for Financial Stability (CEF)"/>
                        <xsd:enumeration value="Centre for International Economics (CIE)"/>
                        <xsd:enumeration value="Centre for Regional Innovation and Competitiveness (CRIC)"/>
                        <xsd:enumeration value="Centro de Capacitacion Investigación y Desarrollo Tecnológico en Energía y Sustentabilidad, A.C. (CCIDTE)"/>
                        <xsd:enumeration value="Centro de Estudios Económicos del Sector Privado (CEESP)"/>
                        <xsd:enumeration value="Centro Internacional para la Investigación del Fenómeno El Niño (CIIFEN)"/>
                        <xsd:enumeration value="Centro Nacional de Metrología (CENAM)"/>
                        <xsd:enumeration value="Centro Nacional de Productividad y Calidad (ChileCalidad)"/>
                        <xsd:enumeration value="Centro para la Estabilidad Financiera (CEF)"/>
                        <xsd:enumeration value="Century Logistics Holdings Berhad"/>
                        <xsd:enumeration value="Chamber of Mines of the Philippines (CMP)"/>
                        <xsd:enumeration value="Channel Logistics"/>
                        <xsd:enumeration value="CHEMTREC"/>
                        <xsd:enumeration value="CHEP"/>
                        <xsd:enumeration value="Chiang Mai University (CMU)"/>
                        <xsd:enumeration value="Chiba University"/>
                        <xsd:enumeration value="Chicago Council on Global Affairs"/>
                        <xsd:enumeration value="Chilean Copper Commission (COCHILCO)"/>
                        <xsd:enumeration value="China Academy of Sciences (CAS)"/>
                        <xsd:enumeration value="China Association of Automobile Manufacturers"/>
                        <xsd:enumeration value="China Household Electronic Appliance Research Institute (CHEARI)"/>
                        <xsd:enumeration value="China Certification"/>
                        <xsd:enumeration value="China Council for the Promotion of International Trade (CCPIT)"/>
                        <xsd:enumeration value="China Flooring Holding Company Limited"/>
                        <xsd:enumeration value="China General Certification Center (CGC)"/>
                        <xsd:enumeration value="China IWNCOMM Co., Ltd."/>
                        <xsd:enumeration value="China Mobile"/>
                        <xsd:enumeration value="China Network Communication Group Corporation (CNC)"/>
                        <xsd:enumeration value="China Pharmaceutical Industry Research and Development Association (SINO-PhIRDA)"/>
                        <xsd:enumeration value="China Telecom"/>
                        <xsd:enumeration value="Chinese Academy of Agricultural Sciences (CAAS)"/>
                        <xsd:enumeration value="Chinese Academy of Forestry"/>
                        <xsd:enumeration value="Chinese Academy of Inspection and Quarantine (CAIQ)"/>
                        <xsd:enumeration value="Chinese Academy of Science and Technology for Development (CASTED)"/>
                        <xsd:enumeration value="Chinese Academy of Sciences"/>
                        <xsd:enumeration value="Chinese Academy of Social Sciences (CASS)"/>
                        <xsd:enumeration value="Chinese University of Hong Kong"/>
                        <xsd:enumeration value="Chongqing University"/>
                        <xsd:enumeration value="Chubb Insurance"/>
                        <xsd:enumeration value="Chugai Pharmaceutical"/>
                        <xsd:enumeration value="Chulalongkorn University"/>
                        <xsd:enumeration value="Chung-Hwa Institution for Economic Research (CIER)"/>
                        <xsd:enumeration value="Chunghwa Telecom"/>
                        <xsd:enumeration value="Cisco Systems, Inc"/>
                        <xsd:enumeration value="Citigroup"/>
                        <xsd:enumeration value="City University"/>
                        <xsd:enumeration value="CityLink Ltd"/>
                        <xsd:enumeration value="Clayton Utz"/>
                        <xsd:enumeration value="Cleary Gottlieb Steen &amp; Hamilton LLP"/>
                        <xsd:enumeration value="Clorox Company"/>
                        <xsd:enumeration value="Codex Alimentarius Commission (CAC)"/>
                        <xsd:enumeration value="COFCO"/>
                        <xsd:enumeration value="Coles Myer"/>
                        <xsd:enumeration value="Collaborative Labeling and Appliance Standards Program (CLASP)"/>
                        <xsd:enumeration value="Comcast"/>
                        <xsd:enumeration value="Comisión Permanente del Pacífico Sur (CPPS)"/>
                        <xsd:enumeration value="Comité Estatal De Sanidad Vegetal (CESAVEG)"/>
                        <xsd:enumeration value="CommerceNet Singapore"/>
                        <xsd:enumeration value="Commission nationale de l'informatique et des libertés (CNIL)"/>
                        <xsd:enumeration value="Commonwealth Scientific and Industrial Research Organisation (CSIRO)"/>
                        <xsd:enumeration value="Commonwealth Secretariat"/>
                        <xsd:enumeration value="Community College Research Center (CCRC)"/>
                        <xsd:enumeration value="Companies Commission of Malaysia"/>
                        <xsd:enumeration value="Competition Commission of Singapore (CCS)"/>
                        <xsd:enumeration value="Compañía Minera Antamina S.A."/>
                        <xsd:enumeration value="Computing Technology Industry Association (CompTIA)"/>
                        <xsd:enumeration value="Confederación de Cámaras Industriales (CONCAMIN)"/>
                        <xsd:enumeration value="Conference Board of Canada"/>
                        <xsd:enumeration value="Conference of Asia Pacific Express Carriers (CAPEC)"/>
                        <xsd:enumeration value="Conference of Latin American and Caribbean Express Companies (CLADEC)"/>
                        <xsd:enumeration value="Connected Nation"/>
                        <xsd:enumeration value="Connection Research"/>
                        <xsd:enumeration value="ConocoPhillips"/>
                        <xsd:enumeration value="Consejo Regulador del Tequila (CRT)"/>
                        <xsd:enumeration value="Construction Sector Transparency Initiative (CoST)"/>
                        <xsd:enumeration value="Consultative Group to Assist the Poor (CGAP)"/>
                        <xsd:enumeration value="Consumer Council"/>
                        <xsd:enumeration value="Consumer Electronics Association (CEA)"/>
                        <xsd:enumeration value="Consumers Association of Singapore (CASE)"/>
                        <xsd:enumeration value="Consumers’ Federation of Australia"/>
                        <xsd:enumeration value="Consumers International"/>
                        <xsd:enumeration value="Coordinadora de Organismos Empresariales de Comercio Exterior (COECE)"/>
                        <xsd:enumeration value="Coordinating Body on the Seas of East Asia (COBSEA)"/>
                        <xsd:enumeration value="Cornell University"/>
                        <xsd:enumeration value="Corporación Nacional del Cobre de Chile (Codelco)"/>
                        <xsd:enumeration value="Corporate Network for Disaster Response (CNDR)"/>
                        <xsd:enumeration value="Corrs Chambers Westgarth"/>
                        <xsd:enumeration value="Costco Wholesale Corporation"/>
                        <xsd:enumeration value="Council for Biotechnology Information"/>
                        <xsd:enumeration value="Council of Europe"/>
                        <xsd:enumeration value="Counter-Terrorism Action Group (CTAG)"/>
                        <xsd:enumeration value="Covidien"/>
                        <xsd:enumeration value="Covington &amp; Burling LLP"/>
                        <xsd:enumeration value="CP3 Group"/>
                        <xsd:enumeration value="CPA Australia"/>
                        <xsd:enumeration value="CPSR-Perú"/>
                        <xsd:enumeration value="Cranleigh Merchant Bankers"/>
                        <xsd:enumeration value="CrimsonLogic Pte Ltd"/>
                        <xsd:enumeration value="CrisisCommons"/>
                        <xsd:enumeration value="CropLife Asia"/>
                        <xsd:enumeration value="CropLife International"/>
                        <xsd:enumeration value="Crowell &amp; Moring LLP"/>
                        <xsd:enumeration value="Crystal Lagoons"/>
                        <xsd:enumeration value="CSA Standards"/>
                        <xsd:enumeration value="CSIRO Sustainable Ecosystems"/>
                        <xsd:enumeration value="Cullen International"/>
                        <xsd:enumeration value="CWorks"/>
                        <xsd:enumeration value="DagangNet Technologies Sdn Bhd (DNT)"/>
                        <xsd:enumeration value="DAI"/>
                        <xsd:enumeration value="DAMConsult Limited"/>
                        <xsd:enumeration value="Da Nang Young Entrepreneurs’ Association"/>
                        <xsd:enumeration value="Daimler Chrysler"/>
                        <xsd:enumeration value="Daiwa Institute of Research Ltd"/>
                        <xsd:enumeration value="Darden Restaurants"/>
                        <xsd:enumeration value="Data Security Council of India (DSCI)"/>
                        <xsd:enumeration value="Davara Abogados, S.C."/>
                        <xsd:enumeration value="David A. Pawlak LLC"/>
                        <xsd:enumeration value="Davies Collison Cave"/>
                        <xsd:enumeration value="Davis Wright Tremaine"/>
                        <xsd:enumeration value="De Leon Consulting"/>
                        <xsd:enumeration value="Debevoise &amp; Plimpton LLP"/>
                        <xsd:enumeration value="DEKRA Certification"/>
                        <xsd:enumeration value="Dell"/>
                        <xsd:enumeration value="Deloitte"/>
                        <xsd:enumeration value="Deloitte Touche Tohmatsu"/>
                        <xsd:enumeration value="Desaku Trading"/>
                        <xsd:enumeration value="Detecon"/>
                        <xsd:enumeration value="Deutsche Gesellschaft für Internationale Zusammenarbeit (GIZ) GmbH"/>
                        <xsd:enumeration value="Developing Trade Consultants Ltd."/>
                        <xsd:enumeration value="Developing World Markets (DWM)"/>
                        <xsd:enumeration value="Development Center for Appropriate Technology (DCAT)"/>
                        <xsd:enumeration value="Development Initiatives Pty Ltd"/>
                        <xsd:enumeration value="DHL"/>
                        <xsd:enumeration value="D.I. Mendeleev All-Russian Institute for Metrology (VNIIM)"/>
                        <xsd:enumeration value="DICTUC"/>
                        <xsd:enumeration value="Digital Divide Institute"/>
                        <xsd:enumeration value="Digital Trade and Transportation Network Limited"/>
                        <xsd:enumeration value="Doi Chaang Coffee Original Co."/>
                        <xsd:enumeration value="DOMANI Sustainability Consulting, LLC"/>
                        <xsd:enumeration value="Donald Danforth Plant Science Center"/>
                        <xsd:enumeration value="Dongfeng Automobile Company Limited (DFAC)"/>
                        <xsd:enumeration value="Dow Chemical Company"/>
                        <xsd:enumeration value="DP Information Group"/>
                        <xsd:enumeration value="DP World"/>
                        <xsd:enumeration value="Drew and Napier LLC"/>
                        <xsd:enumeration value="Duke Medicine"/>
                        <xsd:enumeration value="DuPont"/>
                        <xsd:enumeration value="eBay"/>
                        <xsd:enumeration value="Eco-product Research Institute (ERI)"/>
                        <xsd:enumeration value="École Polytechnique Federale de Lausanne (EPFL)"/>
                        <xsd:enumeration value="Economic Research Institute for ASEAN and East Asia (ERIA)"/>
                        <xsd:enumeration value="Ecotourism Australia Limited"/>
                        <xsd:enumeration value="Edelman"/>
                        <xsd:enumeration value="EDGE Environmental Consulting Ltd."/>
                        <xsd:enumeration value="Educational Data Systems"/>
                        <xsd:enumeration value="eGlobalTech"/>
                        <xsd:enumeration value="EH Consulting"/>
                        <xsd:enumeration value="El Colegio de México"/>
                        <xsd:enumeration value="Electrical and Electronics Institute (EEI)"/>
                        <xsd:enumeration value="Electronic Arts Inc."/>
                        <xsd:enumeration value="Electronic Data Systems (EDS)"/>
                        <xsd:enumeration value="Electronic Privacy Information Center (EPIC)"/>
                        <xsd:enumeration value="Eli Lilly"/>
                        <xsd:enumeration value="EMC Corporation"/>
                        <xsd:enumeration value="Energy Charter"/>
                        <xsd:enumeration value="Energy Futures Australia"/>
                        <xsd:enumeration value="Entertainment Software Association (ESA)"/>
                        <xsd:enumeration value="Environment and Bio Science Institute (EBSI)"/>
                        <xsd:enumeration value="Environment and Development Foundation (EDF)"/>
                        <xsd:enumeration value="Environment Japan K.K."/>
                        <xsd:enumeration value="Environmental Business International"/>
                        <xsd:enumeration value="EPCglobal"/>
                        <xsd:enumeration value="Ericsson"/>
                        <xsd:enumeration value="ESAN University"/>
                        <xsd:enumeration value="ESCo Committee of China Energy Conservation Association (EMCA)"/>
                        <xsd:enumeration value="E.Sun FHC"/>
                        <xsd:enumeration value="Essex Woodlands"/>
                        <xsd:enumeration value="ETS Laboratories"/>
                        <xsd:enumeration value="Eucomed"/>
                        <xsd:enumeration value="Eureka Strategic Research"/>
                        <xsd:enumeration value="Eurometaux"/>
                        <xsd:enumeration value="European Academy for Standardization (EURAS)"/>
                        <xsd:enumeration value="European Anti-Fraud Office (OLAF)"/>
                        <xsd:enumeration value="European Commission"/>
                        <xsd:enumeration value="European Committee for Standardization (CEN)"/>
                        <xsd:enumeration value="European Directorate for the Quality of Medicines &amp; HealthCare (EDQM)"/>
                        <xsd:enumeration value="European Feed Manufacturers' Federation (FEFAC)"/>
                        <xsd:enumeration value="European Patent Office (EPO)"/>
                        <xsd:enumeration value="European Union"/>
                        <xsd:enumeration value="Ewha Womans University"/>
                        <xsd:enumeration value="Excellence Through Stewardship"/>
                        <xsd:enumeration value="Exergy"/>
                        <xsd:enumeration value="Experian Information Solutions"/>
                        <xsd:enumeration value="Express Association of America (EAA)"/>
                        <xsd:enumeration value="Exxonmobile"/>
                        <xsd:enumeration value="Far East Forestry Research Institute (FEFRI)"/>
                        <xsd:enumeration value="Federal Express (FedEx)"/>
                        <xsd:enumeration value="Federal Institute for Materials Research and Testing (BAM)"/>
                        <xsd:enumeration value="Federation Asia Pacific Aircargo Association (FAPAA)"/>
                        <xsd:enumeration value="Federation of Hong Kong Industries"/>
                        <xsd:enumeration value="Fenwick &amp; West LLP"/>
                        <xsd:enumeration value="Financial Supervisory Service"/>
                        <xsd:enumeration value="First Thoughts"/>
                        <xsd:enumeration value="Fish &amp; Co"/>
                        <xsd:enumeration value="Fish Marketing Organization (FMO)"/>
                        <xsd:enumeration value="Fitch Ratings"/>
                        <xsd:enumeration value="Fluor"/>
                        <xsd:enumeration value="Food and Agriculture Organization (FAO)"/>
                        <xsd:enumeration value="Fondo Nacional Para El Fomento De Las Artesanias (FONART)"/>
                        <xsd:enumeration value="Fonterra"/>
                        <xsd:enumeration value="Ford Lio Ho"/>
                        <xsd:enumeration value="Ford Motor Company"/>
                        <xsd:enumeration value="Forest Science Institute of Vietnam (FSIV)"/>
                        <xsd:enumeration value="Foster’s Group Limited"/>
                        <xsd:enumeration value="FPS Global Logistics"/>
                        <xsd:enumeration value="Franchise Services, Inc. (FSI)"/>
                        <xsd:enumeration value="Franklin Pierce Law Center"/>
                        <xsd:enumeration value="Fred Hutchinson Cancer Research Center"/>
                        <xsd:enumeration value="Frontex"/>
                        <xsd:enumeration value="Frost &amp; Sullivan"/>
                        <xsd:enumeration value="Fujitsu Limited"/>
                        <xsd:enumeration value="Futurepast"/>
                        <xsd:enumeration value="Fukuoka Prefectural University"/>
                        <xsd:enumeration value="Fundación Chile"/>
                        <xsd:enumeration value="Fundación Mexicana para la Salud (FUNSALUD)"/>
                        <xsd:enumeration value="Gadjah Mada University"/>
                        <xsd:enumeration value="Galexia"/>
                        <xsd:enumeration value="GazInformService"/>
                        <xsd:enumeration value="GDP Global"/>
                        <xsd:enumeration value="GE Appliances"/>
                        <xsd:enumeration value="GE Capital"/>
                        <xsd:enumeration value="General Electric (GE)"/>
                        <xsd:enumeration value="General Mills"/>
                        <xsd:enumeration value="General Motors Corporation (GM)"/>
                        <xsd:enumeration value="GeoHazards International (GHI)"/>
                        <xsd:enumeration value="George Mason University"/>
                        <xsd:enumeration value="George Washington University"/>
                        <xsd:enumeration value="Georgeson"/>
                        <xsd:enumeration value="Georgetown University"/>
                        <xsd:enumeration value="Gilbert &amp; Tobin"/>
                        <xsd:enumeration value="GlaxoSmithKline (GSK)"/>
                        <xsd:enumeration value="GlaxoSmithKline Biologicals (GSK Biologicals)"/>
                        <xsd:enumeration value="Global Adventitious Presence Coalition (GAPC)"/>
                        <xsd:enumeration value="Global Business Dialogue on Electronic Commerce (GBDe)"/>
                        <xsd:enumeration value="Global Business Network (GBN)"/>
                        <xsd:enumeration value="Global Environment Facility (GEF)"/>
                        <xsd:enumeration value="Global Intellectual Property Center (GIPC)"/>
                        <xsd:enumeration value="Global Road Safety Partnership"/>
                        <xsd:enumeration value="Global Subsidies Initiative (GSI)"/>
                        <xsd:enumeration value="GM Holden Ltd"/>
                        <xsd:enumeration value="Golden Helix"/>
                        <xsd:enumeration value="Goldman Sachs"/>
                        <xsd:enumeration value="Gomberg, Fredrikson &amp; Associates"/>
                        <xsd:enumeration value="González de Cossío Abogados, S.C. (GCA)"/>
                        <xsd:enumeration value="Google"/>
                        <xsd:enumeration value="Grain Growers of Canada"/>
                        <xsd:enumeration value="Green Building Council Indonesia"/>
                        <xsd:enumeration value="Green IT Promotion Council"/>
                        <xsd:enumeration value="Green Meeting Industry Council (GMIC)"/>
                        <xsd:enumeration value="Griffith Hack"/>
                        <xsd:enumeration value="Grocery Manufacturers Association (GMA)"/>
                        <xsd:enumeration value="Group of Eight (Go8)"/>
                        <xsd:enumeration value="Grupo de Acción Financiera para Sudamérica (GAFISUD)"/>
                        <xsd:enumeration value="GS1"/>
                        <xsd:enumeration value="GTM Research"/>
                        <xsd:enumeration value="Guardian Industries"/>
                        <xsd:enumeration value="Hallym University"/>
                        <xsd:enumeration value="Hannam University"/>
                        <xsd:enumeration value="Hanoi ICT Association (HANCITA)"/>
                        <xsd:enumeration value="Hanoi School of Public Health"/>
                        <xsd:enumeration value="Hanoi University of Agriculture (HUA)"/>
                        <xsd:enumeration value="Hanyang University"/>
                        <xsd:enumeration value="Harley-Davidson"/>
                        <xsd:enumeration value="Harvard University"/>
                        <xsd:enumeration value="Hasbro"/>
                        <xsd:enumeration value="Hastings Fund Management"/>
                        <xsd:enumeration value="Headworks"/>
                        <xsd:enumeration value="Health Insurance System Research Office (HISRO)"/>
                        <xsd:enumeration value="Health Supplements Industry Association Singapore (HSIAS)"/>
                        <xsd:enumeration value="Heenan Blaikie"/>
                        <xsd:enumeration value="Helmut Schmidt University"/>
                        <xsd:enumeration value="Hewlett-Packard (HP)"/>
                        <xsd:enumeration value="Hitachi"/>
                        <xsd:enumeration value="Hitachi Kokusai Electric"/>
                        <xsd:enumeration value="Hitotsubashi University"/>
                        <xsd:enumeration value="HM Revenue &amp; Customs"/>
                        <xsd:enumeration value="Honda Motor Company"/>
                        <xsd:enumeration value="Honeywell"/>
                        <xsd:enumeration value="Hong Kong Baptist University"/>
                        <xsd:enumeration value="Hong Kong Information Technology Federation (HKITF)"/>
                        <xsd:enumeration value="Hong Kong Polytechnic University"/>
                        <xsd:enumeration value="Hong Kong Science &amp; Technology Parks"/>
                        <xsd:enumeration value="Hong Kong Society of Medical Informatics"/>
                        <xsd:enumeration value="Hong Kong University of Science and Technology (HKUST)"/>
                        <xsd:enumeration value="Hongik University"/>
                        <xsd:enumeration value="HTC Corporation"/>
                        <xsd:enumeration value="HTC Purenergy"/>
                        <xsd:enumeration value="Huawei Technologies"/>
                        <xsd:enumeration value="Hunt &amp; Hunt"/>
                        <xsd:enumeration value="Hunton &amp; Williams"/>
                        <xsd:enumeration value="Hyundai Motor Company"/>
                        <xsd:enumeration value="IACC Foundation"/>
                        <xsd:enumeration value="ICC International Maritime Bureau (IMB)"/>
                        <xsd:enumeration value="ICTI CARE Foundation"/>
                        <xsd:enumeration value="ideacorp"/>
                        <xsd:enumeration value="IE Technology Co., Ltd."/>
                        <xsd:enumeration value="IEEE Standards Association (IEEE-SA)"/>
                        <xsd:enumeration value="IFES"/>
                        <xsd:enumeration value="IMOBIX"/>
                        <xsd:enumeration value="Imus Institute"/>
                        <xsd:enumeration value="Incheon International Airport (ICN)"/>
                        <xsd:enumeration value="Independent Commission Against Corruption (ICAC)"/>
                        <xsd:enumeration value="Independent Electricity System Operator (IESO)"/>
                        <xsd:enumeration value="Indian Council of Agricultural Research (ICAR)"/>
                        <xsd:enumeration value="Indian Institute of Toxicology Research (IITR)"/>
                        <xsd:enumeration value="Indiana University (IU)"/>
                        <xsd:enumeration value="Indonesia Business Links (IBL)"/>
                        <xsd:enumeration value="Indonesia Infrastructure Guarantee Fund (IIGF)"/>
                        <xsd:enumeration value="Indonesia–Security Incident Response Teams on Internet Infrastructure (ID-SIRTII)"/>
                        <xsd:enumeration value="Indonesian Chamber of Commerce and Industry (KADIN)"/>
                        <xsd:enumeration value="Indonesian Competition Commission"/>
                        <xsd:enumeration value="Indonesian Institute for Corporate Directorship (IICD)"/>
                        <xsd:enumeration value="Indonesian Intellectual Property Society (IIPS)"/>
                        <xsd:enumeration value="Indonesian Mining Association (IMA)"/>
                        <xsd:enumeration value="Industrial and Commercial Bank of China (ICBC)"/>
                        <xsd:enumeration value="Industrial Technology Research Institute (ITRI)"/>
                        <xsd:enumeration value="Infinitus Law Corporation"/>
                        <xsd:enumeration value="Information &amp; Communication Security Technology Center (ICST)"/>
                        <xsd:enumeration value="Information Integrity Solutions Pty Ltd"/>
                        <xsd:enumeration value="Information Technology &amp; Innovation Foundation (ITIF)"/>
                        <xsd:enumeration value="Information Technology Industry Council (ITI)"/>
                        <xsd:enumeration value="Information Technology Standards Committee (ITSC)"/>
                        <xsd:enumeration value="Ingersoll Rand"/>
                        <xsd:enumeration value="INNOVA"/>
                        <xsd:enumeration value="iSIGHT Partners"/>
                        <xsd:enumeration value="Institut de recherche pour le développement (IRD)"/>
                        <xsd:enumeration value="Institut Pertanian Bogor (IPB)"/>
                        <xsd:enumeration value="Institute for Biotechnology and Medicine Industry (IBMI)"/>
                        <xsd:enumeration value="Institute for Global Environmental Strategies"/>
                        <xsd:enumeration value="Institute for Industrial Promotion (IPI)"/>
                        <xsd:enumeration value="Institute for Health and Productivity Management (IHPM)"/>
                        <xsd:enumeration value="Institute for Information Industry (III)"/>
                        <xsd:enumeration value="Institute for International Studies and Training (IIST)"/>
                        <xsd:enumeration value="Institute for International Trade (IIT)"/>
                        <xsd:enumeration value="Institute for Transportation and Development Policy (ITDP)"/>
                        <xsd:enumeration value="Institute of Biotechnology (IBT)"/>
                        <xsd:enumeration value="Institute of Corporate Directors"/>
                        <xsd:enumeration value="Institute of Defence and Strategic Studies (IDSS)"/>
                        <xsd:enumeration value="Institute of Developing Economies-Japan External Trade Organization (IDE-JETRO)"/>
                        <xsd:enumeration value="Institute of Energy Economics (IEE)"/>
                        <xsd:enumeration value="Institute of Occupational Medicine and Industrial Hygiene"/>
                        <xsd:enumeration value="Institute of Patent and Trade Mark Attorneys of Australia (IPTA)"/>
                        <xsd:enumeration value="Institute of Population Research (IPR)"/>
                        <xsd:enumeration value="Institute of Water Resources Planning (IWARP)"/>
                        <xsd:enumeration value="Institute of World Economics and Politics (IWEP)"/>
                        <xsd:enumeration value="Institute of World Economy and International Relations (IMEMO)"/>
                        <xsd:enumeration value="Institute On Governance (IOG)"/>
                        <xsd:enumeration value="Instituto de Desarrollo Social (IDS)"/>
                        <xsd:enumeration value="Instituto de Investigaciones Agropecuarias (INIA)"/>
                        <xsd:enumeration value="Instituto Federal de Acceso a la Información Pública (IFAI)"/>
                        <xsd:enumeration value="Instituto Nacional de Meteorologia (INMET)"/>
                        <xsd:enumeration value="Instituto Tecnológico y de Estudios Superiores de Monterrey"/>
                        <xsd:enumeration value="Integrated Framework (IF)"/>
                        <xsd:enumeration value="Integrative Concepts"/>
                        <xsd:enumeration value="Intel"/>
                        <xsd:enumeration value="Intellectual Ventures"/>
                        <xsd:enumeration value="Inter-American Development Bank"/>
                        <xsd:enumeration value="Inter-American Institute for Cooperation on Agriculture (IICA)"/>
                        <xsd:enumeration value="Inter-Pacific Bar Association (IPBA)"/>
                        <xsd:enumeration value="Intercedent Asia"/>
                        <xsd:enumeration value="Intergovernmental Oceanographic Commission (IOC)"/>
                        <xsd:enumeration value="International Accreditation Forum (IAF)"/>
                        <xsd:enumeration value="International Air Transport Association (IATA)"/>
                        <xsd:enumeration value="International Amateur Radio Union"/>
                        <xsd:enumeration value="International Anti-Corruption Academy (IACA)"/>
                        <xsd:enumeration value="International Association of Internet Hotlines (INHOPE)"/>
                        <xsd:enumeration value="International Association of Maritime Universities (IAMU)"/>
                        <xsd:enumeration value="International Association of Oil &amp; Gas Producers (OGP)"/>
                        <xsd:enumeration value="International Association of Plumbing and Mechanical Officials (IAPMO)"/>
                        <xsd:enumeration value="International Business Machines Corporation (IBM)"/>
                        <xsd:enumeration value="International Cable Protection Committee (ICPC)"/>
                        <xsd:enumeration value="International Centre for Settlement of Investment Disputes (ICSID)"/>
                        <xsd:enumeration value="International Centre for the Management of Pest Fruit Flies (ICMPFF)"/>
                        <xsd:enumeration value="International Centre for Trade and Sustainable Development (ICTSD)"/>
                        <xsd:enumeration value="International Chamber of Commerce (ICC)"/>
                        <xsd:enumeration value="International Civil Aviation Organization (ICAO)"/>
                        <xsd:enumeration value="International Code Council (ICC)"/>
                        <xsd:enumeration value="International Competition Network (ICN)"/>
                        <xsd:enumeration value="International Confederation of Societies of Authors and Composers (CISAC)"/>
                        <xsd:enumeration value="International Conference on Harmonisation of Technical Requirements for Registration of Pharmaceuticals for Human Use (ICH)"/>
                        <xsd:enumeration value="International Cooperation on Education About Standardization (ICES)"/>
                        <xsd:enumeration value="International Copper Association, Ltd. (ICA)"/>
                        <xsd:enumeration value="International Council of Chemical Associations (ICCA)"/>
                        <xsd:enumeration value="International Council of Toy Industries (ICTI)"/>
                        <xsd:enumeration value="International Council on Clean Transportation (ICCT)"/>
                        <xsd:enumeration value="International Criminal Police Organization"/>
                        <xsd:enumeration value="International Development Law Organisation (IDLO)"/>
                        <xsd:enumeration value="International Development Research Centre (IDRC)"/>
                        <xsd:enumeration value="International Data Corporation (IDC)"/>
                        <xsd:enumeration value="International Electrotechnical Commission (IEC)"/>
                        <xsd:enumeration value="International Energy Agency (IEA)"/>
                        <xsd:enumeration value="International Federation of Business and Professional Women (BPW International)"/>
                        <xsd:enumeration value="International Federation of Freight Forwarders Associations (FIATA)"/>
                        <xsd:enumeration value="International Federation of Library Associations and Institutions  (IFLA)"/>
                        <xsd:enumeration value="International Federation of Pharmaceutical Manufacturers &amp; Associations (IFPMA)"/>
                        <xsd:enumeration value="International Federation of Red Cross and Red Crescent Societies (IFRC)"/>
                        <xsd:enumeration value="International Federation of Reproduction Rights Organisations (IFRRO)"/>
                        <xsd:enumeration value="International Federation of the Phonographic Industry (IFPI)"/>
                        <xsd:enumeration value="International Finance Corporation (IFC)"/>
                        <xsd:enumeration value="International Food &amp; Agricultural Trade Policy Council (IPC)"/>
                        <xsd:enumeration value="International Food Policy Research Institute (IFPRI)"/>
                        <xsd:enumeration value="International Fund for Agricultural Development (IFAD)"/>
                        <xsd:enumeration value="International Grain Trade Coalition (IGTC)"/>
                        <xsd:enumeration value="International Initiative for a Sustainable Built Environment (iiSBE)"/>
                        <xsd:enumeration value="International Laboratory Accreditation Cooperation (ILAC)"/>
                        <xsd:enumeration value="International Labour Organization (ILO)"/>
                        <xsd:enumeration value="International Life Sciences Institute (ILSI)"/>
                        <xsd:enumeration value="International Maritime Organization (IMO)"/>
                        <xsd:enumeration value="International Monetary Fund (IMF)"/>
                        <xsd:enumeration value="International Network for Bamboo and Rattan (INBAR)"/>
                        <xsd:enumeration value="International Organization for Standardization (ISO)"/>
                        <xsd:enumeration value="International Research Institute for Climate and Society (IRI)"/>
                        <xsd:enumeration value="International Rice Research Institute (IRRI)"/>
                        <xsd:enumeration value="International School of Tourism and Marketing (ISTM)"/>
                        <xsd:enumeration value="International Security Technology Ltd"/>
                        <xsd:enumeration value="International Service for the Acquisition of Agri-biotech Applications (ISAAA)"/>
                        <xsd:enumeration value="International Social Security Association (ISSA)"/>
                        <xsd:enumeration value="International Telecommunication Union (ITU)"/>
                        <xsd:enumeration value="International Telecommunications Users Group (INTUG)"/>
                        <xsd:enumeration value="International Trademark Association (INTA)"/>
                        <xsd:enumeration value="International Tropical Timber Organization (ITTO)"/>
                        <xsd:enumeration value="Internet Corporation for Assigned Names and Numbers (ICANN)"/>
                        <xsd:enumeration value="Internet Industry Association"/>
                        <xsd:enumeration value="Internet Society (ISOC)"/>
                        <xsd:enumeration value="Inter-Organization Programme for the Sound Management of Chemicals (IOMC)"/>
                        <xsd:enumeration value="Intertek"/>
                        <xsd:enumeration value="IQQuest"/>
                        <xsd:enumeration value="IP Mirror Pte Ltd"/>
                        <xsd:enumeration value="IP*SEVA"/>
                        <xsd:enumeration value="IPC"/>
                        <xsd:enumeration value="ITS Global"/>
                        <xsd:enumeration value="Jacobs &amp; Associates"/>
                        <xsd:enumeration value="James Cook University (JCU)"/>
                        <xsd:enumeration value="Jane’s Information Group"/>
                        <xsd:enumeration value="Japan Advanced Institute of Science and Technology (JAIST)"/>
                        <xsd:enumeration value="Japan Association for Simplification of International Trade Procedures (JASTPRO)"/>
                        <xsd:enumeration value="Japan Automobile Manufacturers Association (JAMA)"/>
                        <xsd:enumeration value="Japan Automobile Research Institute"/>
                        <xsd:enumeration value="Japan Automobile Standards Internationalization Center (JASIC)"/>
                        <xsd:enumeration value="Japan Bioindustry Association"/>
                        <xsd:enumeration value="Japan Chemical Industry Association"/>
                        <xsd:enumeration value="Japan Computer Emergency Response Team Coordination Center (JCERT/CC)"/>
                        <xsd:enumeration value="Japan Customs Brokers Association"/>
                        <xsd:enumeration value="Japan Electrical Manufacturers' Association (JEMA)"/>
                        <xsd:enumeration value="Japan Electrical Safety and Environment Technology Laboratories (JET)"/>
                        <xsd:enumeration value="Japan Electronics and Information Technology Industries Association (JEITA)"/>
                        <xsd:enumeration value="Japan Environmental Management Association for Industry (JEMAI)"/>
                        <xsd:enumeration value="Japan Fair Trade Commission (JFTC)"/>
                        <xsd:enumeration value="Japan Federation of Medical Devices Associations (JFMDA)"/>
                        <xsd:enumeration value="Japan Industries Association of Radiological Systems (JIRA)"/>
                        <xsd:enumeration value="Japan Information Processing Development Corporation (JIPDEC)"/>
                        <xsd:enumeration value="Japan Institute of International Affairs (JIIA)"/>
                        <xsd:enumeration value="Japan International Cooperation Agency (JICA)"/>
                        <xsd:enumeration value="Japan Machinery Center for Trade and Investment (JMC)"/>
                        <xsd:enumeration value="Japan Mining Industry Association"/>
                        <xsd:enumeration value="Japan Pharmaceutical Manufacturers Association (JPMA)"/>
                        <xsd:enumeration value="Japan Securities Dealers Association (JSDA)"/>
                        <xsd:enumeration value="Japan Securities Depository Center, Inc. (JASDEC)"/>
                        <xsd:enumeration value="Japan Smart Community Alliance (JSCA)"/>
                        <xsd:enumeration value="Japan Soap and Detergent Association"/>
                        <xsd:enumeration value="Japan Women's Innovative Network (J-Win)"/>
                        <xsd:enumeration value="JDB Solutions"/>
                        <xsd:enumeration value="Jeekai &amp; Partners"/>
                        <xsd:enumeration value="Jeonju University"/>
                        <xsd:enumeration value="Jetstar Pacific Airlines"/>
                        <xsd:enumeration value="Jetta Company Limited"/>
                        <xsd:enumeration value="JGC Corporation"/>
                        <xsd:enumeration value="Jhpiego"/>
                        <xsd:enumeration value="JMA Research Institute, Inc. (JMAR)"/>
                        <xsd:enumeration value="John Wiley &amp; Sons"/>
                        <xsd:enumeration value="Johnson &amp; Johnson"/>
                        <xsd:enumeration value="Johnson Controls"/>
                        <xsd:enumeration value="Joint Credit Information Center (JCIC)"/>
                        <xsd:enumeration value="Joint Institute for Food Safety and Applied Nutrition (JIFSAN)"/>
                        <xsd:enumeration value="Joint United Nations Programme on HIV/AIDS (UNAIDS)"/>
                        <xsd:enumeration value="Jorge &amp; Dassen"/>
                        <xsd:enumeration value="Joyce A. Tan &amp; Partners"/>
                        <xsd:enumeration value="J.P. Morgan"/>
                        <xsd:enumeration value="JPMorgan Chase"/>
                        <xsd:enumeration value="JR East"/>
                        <xsd:enumeration value="Juniper Networks"/>
                        <xsd:enumeration value="Just Change Management Consultants"/>
                        <xsd:enumeration value="KaloBios Pharmaceuticals"/>
                        <xsd:enumeration value="Kangwon National University"/>
                        <xsd:enumeration value="Kaohsiung Medical University"/>
                        <xsd:enumeration value="Kasetsart University"/>
                        <xsd:enumeration value="Kasikorn Bank"/>
                        <xsd:enumeration value="KDDI Corporation"/>
                        <xsd:enumeration value="Keio University"/>
                        <xsd:enumeration value="Keller and Heckman"/>
                        <xsd:enumeration value="KinderGolf"/>
                        <xsd:enumeration value="King &amp; Wood"/>
                        <xsd:enumeration value="King Mongkut's University of Technology Thonburi (KMUTT)"/>
                        <xsd:enumeration value="Kogakuin University"/>
                        <xsd:enumeration value="Kohshin Rubber"/>
                        <xsd:enumeration value="Komite Pemantauan Pelaksanaan Otonomi Daerah (KPPOD)"/>
                        <xsd:enumeration value="Konkuk University"/>
                        <xsd:enumeration value="Korea Advanced Institute of Science and Technology (KAIST)"/>
                        <xsd:enumeration value="Korea Automobile Manufacturers Association (KAMA)"/>
                        <xsd:enumeration value="Korea Biosafety Clearing House (KBCH)"/>
                        <xsd:enumeration value="Korea Development Institute (KDI)"/>
                        <xsd:enumeration value="Korea Digital Content Association (KDCA)"/>
                        <xsd:enumeration value="Korea e-Health Association (KeHA)"/>
                        <xsd:enumeration value="Korea Electronics Association (KEA)"/>
                        <xsd:enumeration value="Korea Energy Economics Institute (KEEI)"/>
                        <xsd:enumeration value="Korea Energy Management Corporation (KEMCO)"/>
                        <xsd:enumeration value="Korea Health Industry Development Institute (KHIDI)"/>
                        <xsd:enumeration value="Korea Industrial Complex Corporation (KICOX)"/>
                        <xsd:enumeration value="Korea Information Security Agency (KISA)"/>
                        <xsd:enumeration value="Korea Institute for Electronic Commerce (KIEC)"/>
                        <xsd:enumeration value="Korea Institute for Health and Social Affairs (KIHASA)"/>
                        <xsd:enumeration value="Korea Institute for International Economic Policy (KIEP)"/>
                        <xsd:enumeration value="Korea Institute of Construction Technology (KICT)"/>
                        <xsd:enumeration value="Korea Institute of Energy Research (KIER)"/>
                        <xsd:enumeration value="Korea Institute of Intellectual Property (KIIP)"/>
                        <xsd:enumeration value="Korea Institute of Public Administration"/>
                        <xsd:enumeration value="Korea International Trade Association (KITA)"/>
                        <xsd:enumeration value="Korea Mine Reclamation Corporation (MIRECO)"/>
                        <xsd:enumeration value="Korea Nonferrous Metal Association"/>
                        <xsd:enumeration value="Korea Polytechnic University (KPU)"/>
                        <xsd:enumeration value="Korea Ratings"/>
                        <xsd:enumeration value="Korea Research Institute of Bioscience and Biotechnology (KRIBB)"/>
                        <xsd:enumeration value="Korea Research Institute of Standards and Science (KRISS)"/>
                        <xsd:enumeration value="Korea Small Business Institute (KOSBI)"/>
                        <xsd:enumeration value="Korean Standards Association (KSA)"/>
                        <xsd:enumeration value="Korea Technology and Information Promotion Agency for SMEs (TIPA)"/>
                        <xsd:enumeration value="Korea Testing Laboratory (KTL)"/>
                        <xsd:enumeration value="Korea Trade-Investment Promotion Agency (KOTRA)"/>
                        <xsd:enumeration value="Korea Trade Network (KTNet)"/>
                        <xsd:enumeration value="Korea University"/>
                        <xsd:enumeration value="Korean Air"/>
                        <xsd:enumeration value="KPMG"/>
                        <xsd:enumeration value="KT Corporation"/>
                        <xsd:enumeration value="Kuala Lumpur Regional Centre for Arbitration"/>
                        <xsd:enumeration value="Kyoto University"/>
                        <xsd:enumeration value="Kyung Hee University"/>
                        <xsd:enumeration value="Kyushu Institute of Technology"/>
                        <xsd:enumeration value="La Trobe University"/>
                        <xsd:enumeration value="LAN Airlines S.A."/>
                        <xsd:enumeration value="Las Vegas Convention and Visitors Authority (LVCVA)"/>
                        <xsd:enumeration value="Lasko Products"/>
                        <xsd:enumeration value="Lawrie Savage &amp; Associates Inc."/>
                        <xsd:enumeration value="LECG"/>
                        <xsd:enumeration value="Lembaga Ilmu Pengetahuan Indonesia - LIPI"/>
                        <xsd:enumeration value="LEX Counsel"/>
                        <xsd:enumeration value="LexisNexis"/>
                        <xsd:enumeration value="Leyte State University"/>
                        <xsd:enumeration value="LG Electronics (LGE)"/>
                        <xsd:enumeration value="Light Years IP"/>
                        <xsd:enumeration value="LigoCyte"/>
                        <xsd:enumeration value="Linfox"/>
                        <xsd:enumeration value="Lloyd’s Register"/>
                        <xsd:enumeration value="Lonergan Edwards &amp; Associates Limited"/>
                        <xsd:enumeration value="Lufthansa Technik"/>
                        <xsd:enumeration value="Macquarie"/>
                        <xsd:enumeration value="Macquarie Telecom"/>
                        <xsd:enumeration value="Macquarie University"/>
                        <xsd:enumeration value="Maejo University"/>
                        <xsd:enumeration value="Malaysian Agri Hi-Tech Sdn. Bhd."/>
                        <xsd:enumeration value="Malaysian Agricultural Research and Development Institute (MARDI)"/>
                        <xsd:enumeration value="Malaysian Association of Standards Users"/>
                        <xsd:enumeration value="Malaysian Biotechnology Corporation (MBC)"/>
                        <xsd:enumeration value="Malaysian Panel-Products Manufacturers’ Association"/>
                        <xsd:enumeration value="Management Systems International (MSI)"/>
                        <xsd:enumeration value="Managing Intellectual Property"/>
                        <xsd:enumeration value="Mando Corporation"/>
                        <xsd:enumeration value="Manila Water Company"/>
                        <xsd:enumeration value="Manka"/>
                        <xsd:enumeration value="Marine Aquarium Council"/>
                        <xsd:enumeration value="Marine Stewardship Council (MSC)"/>
                        <xsd:enumeration value="MarkAny"/>
                        <xsd:enumeration value="Marubeni America Corporation"/>
                        <xsd:enumeration value="Massachusetts Institute of Technology (MIT)"/>
                        <xsd:enumeration value="Matsushita Electric Industrial Company"/>
                        <xsd:enumeration value="Mattel"/>
                        <xsd:enumeration value="Max Planck Institute for Intellectual Property"/>
                        <xsd:enumeration value="Mayer Brown Practices"/>
                        <xsd:enumeration value="MBK Ventura"/>
                        <xsd:enumeration value="McKinsey &amp; Company"/>
                        <xsd:enumeration value="McKinsey Global Institute (MGI)"/>
                        <xsd:enumeration value="Measurement Standards Laboratory (MSL)"/>
                        <xsd:enumeration value="Medical Technology Association of New Zealand (MTANZ)"/>
                        <xsd:enumeration value="Medinet Co., Ltd."/>
                        <xsd:enumeration value="Medtronic"/>
                        <xsd:enumeration value="Meiji Gakuin University"/>
                        <xsd:enumeration value="Melbourne Convention + Visitors Bureau (MCVB)"/>
                        <xsd:enumeration value="Melbourne Storm"/>
                        <xsd:enumeration value="Mendel Biotechnology, Inc."/>
                        <xsd:enumeration value="Merck"/>
                        <xsd:enumeration value="Merck Sharp &amp; Dohme Australia"/>
                        <xsd:enumeration value="Metalloinvest"/>
                        <xsd:enumeration value="Michigan State University"/>
                        <xsd:enumeration value="MICRA Indonesia"/>
                        <xsd:enumeration value="Microsoft"/>
                        <xsd:enumeration value="Micrus Endovascular Corporation"/>
                        <xsd:enumeration value="Mighty River Power"/>
                        <xsd:enumeration value="Milken Institute"/>
                        <xsd:enumeration value="Miller &amp; Martin PLLC"/>
                        <xsd:enumeration value="Mining Association of Canada (MAC)"/>
                        <xsd:enumeration value="Minter Ellison"/>
                        <xsd:enumeration value="Mitsubishi Corporation"/>
                        <xsd:enumeration value="Mitsubishi Electric Research Laboratories (MERL)"/>
                        <xsd:enumeration value="Mitsubishi Materials Corporation"/>
                        <xsd:enumeration value="Mitsui &amp; Co Ltd"/>
                        <xsd:enumeration value="Mitsui Global Strategic Studies Institute (MGSSI)"/>
                        <xsd:enumeration value="MLC"/>
                        <xsd:enumeration value="MOH Holdings"/>
                        <xsd:enumeration value="Monohakobi Technology Institute (MTI)"/>
                        <xsd:enumeration value="Monsanto Company"/>
                        <xsd:enumeration value="Motion Picture Association (MPA)"/>
                        <xsd:enumeration value="Motor &amp; Equipment Manufacturers Association (MEMA)"/>
                        <xsd:enumeration value="Motor Vehicle Parts Manufacturers Association of the Philippines (MVPMAP)"/>
                        <xsd:enumeration value="MDS Nordion"/>
                        <xsd:enumeration value="Motorola"/>
                        <xsd:enumeration value="MSE Technology Applications, Inc."/>
                        <xsd:enumeration value="Multimedia Glory Sdn Bhd (MGSB)"/>
                        <xsd:enumeration value="Murdoch University"/>
                        <xsd:enumeration value="Myongji University"/>
                        <xsd:enumeration value="Nacional de Normalización (INN)"/>
                        <xsd:enumeration value="Nagasaki University"/>
                        <xsd:enumeration value="Nagoya Institute of Technology"/>
                        <xsd:enumeration value="Nanyang Technological University (NTU)"/>
                        <xsd:enumeration value="Nathan Associates"/>
                        <xsd:enumeration value="National Bureau of Asian Research (NBR)"/>
                        <xsd:enumeration value="National Bus Rapid Transit Institute"/>
                        <xsd:enumeration value="National Center for Asia-Pacific Economic Cooperation (NCAPEC)"/>
                        <xsd:enumeration value="National Central University"/>
                        <xsd:enumeration value="National Cheng Kung University"/>
                        <xsd:enumeration value="National Chengchi University (NCCU)"/>
                        <xsd:enumeration value="National Committee on Governance"/>
                        <xsd:enumeration value="National Council for Grains and Oilseeds Supply (CONAGO)"/>
                        <xsd:enumeration value="National Consumers League"/>
                        <xsd:enumeration value="National Economics University"/>
                        <xsd:enumeration value="National Food Institute"/>
                        <xsd:enumeration value="National Foreign Trade Council (NFTC)"/>
                        <xsd:enumeration value="National Graduate Institute for Policy Studies (GRIPS)"/>
                        <xsd:enumeration value="National Institutes for Food and Drug Control (NIFDC)"/>
                        <xsd:enumeration value="National Institute of Advanced Industrial Science and Technology (AIST)"/>
                        <xsd:enumeration value="National Institute of Building Sciences (NIBS)"/>
                        <xsd:enumeration value="National Institute of Education (NIE)"/>
                        <xsd:enumeration value="National Institute of Metrology Thailand (NIMT)"/>
                        <xsd:enumeration value="National Institute of Water &amp; Atmospheric Research (NIWA)"/>
                        <xsd:enumeration value="National Kidney Foundation (NKF) Singapore"/>
                        <xsd:enumeration value="National Metrology Institute of Japan (NMIJ)"/>
                        <xsd:enumeration value="National Science and Technology Center for Disaster Reduction (NCDR)"/>
                        <xsd:enumeration value="National Science and Technology Development Agency (NSTDA)"/>
                        <xsd:enumeration value="National Science Technology and Innovation Policy Office(STI)"/>
                        <xsd:enumeration value="National Standardization Agency of Indonesia (BSN)"/>
                        <xsd:enumeration value="National University of Malaysia"/>
                        <xsd:enumeration value="National University of Mexico"/>
                        <xsd:enumeration value="National University of Singapore (NUS)"/>
                        <xsd:enumeration value="Natural Resources Defense Council (NRDC)"/>
                        <xsd:enumeration value="NEC Corporation"/>
                        <xsd:enumeration value="NERA Economic Consulting"/>
                        <xsd:enumeration value="Nestlé"/>
                        <xsd:enumeration value="Net Peripheral"/>
                        <xsd:enumeration value="NetSafe"/>
                        <xsd:enumeration value="Network of Aquacultures Centres in Asia-Pacific (NACA)"/>
                        <xsd:enumeration value="New Deantronics"/>
                        <xsd:enumeration value="New Zealand Winegrowers"/>
                        <xsd:enumeration value="New Water Consulting"/>
                        <xsd:enumeration value="New York University"/>
                        <xsd:enumeration value="Nextel del Perú"/>
                        <xsd:enumeration value="NHN"/>
                        <xsd:enumeration value="Nihon Kohden"/>
                        <xsd:enumeration value="Nippon Steel Corporation"/>
                        <xsd:enumeration value="Nippon Yusen Kaisha (NYK Line)"/>
                        <xsd:enumeration value="Nishogakusha University"/>
                        <xsd:enumeration value="Nokia"/>
                        <xsd:enumeration value="Nokia Siemens Networks"/>
                        <xsd:enumeration value="Nomura Institute of Capital Markets Research"/>
                        <xsd:enumeration value="Nomura Research Institute (NRI)"/>
                        <xsd:enumeration value="Nortel"/>
                        <xsd:enumeration value="North Carolina State University"/>
                        <xsd:enumeration value="North Dakota State University (NDSU)"/>
                        <xsd:enumeration value="Northrop Grumman Corporation"/>
                        <xsd:enumeration value="Novartis"/>
                        <xsd:enumeration value="NTA"/>
                        <xsd:enumeration value="NTT Data Corporation"/>
                        <xsd:enumeration value="NTT DOCOMO"/>
                        <xsd:enumeration value="NTT Energy and Environment Systems Laboratories"/>
                        <xsd:enumeration value="NZ Institute of Economic Research Inc (NZIER)"/>
                        <xsd:enumeration value="OCBC Bank"/>
                        <xsd:enumeration value="Office for the Coordination of Humanitarian Affairs (OCHA)"/>
                        <xsd:enumeration value="Office of the Privacy Commissioner for Personal Data (PCPD)"/>
                        <xsd:enumeration value="Open Computing Alliance"/>
                        <xsd:enumeration value="OpenNet Pte Ltd"/>
                        <xsd:enumeration value="Opportunity International"/>
                        <xsd:enumeration value="Opteon"/>
                        <xsd:enumeration value="Oracle Corporation"/>
                        <xsd:enumeration value="Oracle University"/>
                        <xsd:enumeration value="Organisation for Economic Co-operation and Development (OECD)"/>
                        <xsd:enumeration value="Organization for an International Geographical Indications Network (oriGIn)"/>
                        <xsd:enumeration value="Organization for the Advancement of Structured Information Standards (OASIS)"/>
                        <xsd:enumeration value="Organization of American States (OAS)"/>
                        <xsd:enumeration value="Organization of Petroleum Exporting Countries (OPEC)"/>
                        <xsd:enumeration value="Osaka University"/>
                        <xsd:enumeration value="Ovum"/>
                        <xsd:enumeration value="Owens Corning"/>
                        <xsd:enumeration value="Oxfam"/>
                        <xsd:enumeration value="Oxford University"/>
                        <xsd:enumeration value="Ozdocs"/>
                        <xsd:enumeration value="Ozgene Pty Ltd"/>
                        <xsd:enumeration value="Pacific Accreditation Cooperation (PAC)"/>
                        <xsd:enumeration value="Pacific Air Limited"/>
                        <xsd:enumeration value="Pacific Area Standards Congress (PASC)"/>
                        <xsd:enumeration value="Pacific Asia Travel Association (PATA)"/>
                        <xsd:enumeration value="Pacific Disaster Center"/>
                        <xsd:enumeration value="Pacific Economic Cooperation Council (PECC)"/>
                        <xsd:enumeration value="Pacific Hydro"/>
                        <xsd:enumeration value="Pacific Islands Forum (PIF)"/>
                        <xsd:enumeration value="Pacific Islands Regional Ocean Forum (PIROF)"/>
                        <xsd:enumeration value="Pacific Islands Telecommunications Association (PITA)"/>
                        <xsd:enumeration value="Pacific NorthWest Economic Region (PNWER)"/>
                        <xsd:enumeration value="Pacific Public Health Surveillance Network (PPHSN)"/>
                        <xsd:enumeration value="Pacifica Skincare"/>
                        <xsd:enumeration value="Packet Clearing House (PCH)"/>
                        <xsd:enumeration value="Pacto Etico Comercial (PEC)"/>
                        <xsd:enumeration value="Pan American Health Organization (PAHO)"/>
                        <xsd:enumeration value="Pan-Asian e-commerce Alliance (PAA)"/>
                        <xsd:enumeration value="Panasonic Corporation"/>
                        <xsd:enumeration value="Panasonic System Solutions Company"/>
                        <xsd:enumeration value="Papua New Guinea University of Technology"/>
                        <xsd:enumeration value="Partnership for Safe Medicines (PSM)"/>
                        <xsd:enumeration value="Partnerships in Environmental Management for the Seas of East Asia (PEMSEA)"/>
                        <xsd:enumeration value="PATH"/>
                        <xsd:enumeration value="PayPal"/>
                        <xsd:enumeration value="Peace Winds"/>
                        <xsd:enumeration value="Pegadaian"/>
                        <xsd:enumeration value="Peterson Institute for International Economics"/>
                        <xsd:enumeration value="Pfizer"/>
                        <xsd:enumeration value="Pharmaceutical Research and Manufacturers of America (PhRMA)"/>
                        <xsd:enumeration value="Pharmaceutical Security Institute"/>
                        <xsd:enumeration value="Philippine Automotive Federation, Inc (PAFI)"/>
                        <xsd:enumeration value="Philippine Chamber of Commerce and Industry"/>
                        <xsd:enumeration value="Philippine Institute for Development Studies (PIDS)"/>
                        <xsd:enumeration value="Philippine Long Distance Company (PLDT)"/>
                        <xsd:enumeration value="Philippine Maize Federation Inc."/>
                        <xsd:enumeration value="Philippine Rice Research Institute (PhilRice)"/>
                        <xsd:enumeration value="Philips"/>
                        <xsd:enumeration value="Pioneer Hi-Bred"/>
                        <xsd:enumeration value="PLANET Technology Corporation"/>
                        <xsd:enumeration value="Plastics and Chemicals Industries Association (PACIA)"/>
                        <xsd:enumeration value="Policy and Economic Research Council (PERC)"/>
                        <xsd:enumeration value="Pollet Environmental Consulting"/>
                        <xsd:enumeration value="Pontificia Universidad Católica del Perú"/>
                        <xsd:enumeration value="Ports of Auckland"/>
                        <xsd:enumeration value="POSDATA Co., Ltd"/>
                        <xsd:enumeration value="PPP Resource and Advisory Centre Sdn Bhd"/>
                        <xsd:enumeration value="PricewaterhouseCoopers (PwC)"/>
                        <xsd:enumeration value="Privacy Commissioner"/>
                        <xsd:enumeration value="Privacy International"/>
                        <xsd:enumeration value="Proactive Corporation"/>
                        <xsd:enumeration value="ProChile"/>
                        <xsd:enumeration value="Procter &amp; Gamble"/>
                        <xsd:enumeration value="Profinanzas"/>
                        <xsd:enumeration value="ProFuturo AFP"/>
                        <xsd:enumeration value="Promoviendo Alianzas y Estrategias (PRAES)"/>
                        <xsd:enumeration value="Pro Mujer"/>
                        <xsd:enumeration value="Prospectors and Developers Association of Canada (PDAC)"/>
                        <xsd:enumeration value="PSA Corporation"/>
                        <xsd:enumeration value="PSA Singapore Terminals"/>
                        <xsd:enumeration value="PT Sarana Multi Infrastruktur (Persero)"/>
                        <xsd:enumeration value="Public Research &amp; Regulation Initiative (PRRI)"/>
                        <xsd:enumeration value="Pulse Canada"/>
                        <xsd:enumeration value="Pusat Tenaga Malaysia (PTM)"/>
                        <xsd:enumeration value="Qantas Airways"/>
                        <xsd:enumeration value="Qartas Corporation"/>
                        <xsd:enumeration value="QB3"/>
                        <xsd:enumeration value="Quadrem International, Ltd"/>
                        <xsd:enumeration value="Qualcomm"/>
                        <xsd:enumeration value="Queensland Investment Corporation (QIC)"/>
                        <xsd:enumeration value="Queensland University of Technology (QUT)"/>
                        <xsd:enumeration value="Rainforest Expeditions"/>
                        <xsd:enumeration value="Raytheon"/>
                        <xsd:enumeration value="Recordkeeping Innovation"/>
                        <xsd:enumeration value="Redwood Internet Business"/>
                        <xsd:enumeration value="Regulatel"/>
                        <xsd:enumeration value="Reitaku University"/>
                        <xsd:enumeration value="Renewable Energy and Energy Efficiency Partnership (REEEP)"/>
                        <xsd:enumeration value="Renmin University of China (RUC)"/>
                        <xsd:enumeration value="Research Institute of Economy, Trade and Industry (RIETI)"/>
                        <xsd:enumeration value="Resolution Health, Inc. (RHI)"/>
                        <xsd:enumeration value="Rhodium Group (RHG)"/>
                        <xsd:enumeration value="Ricoh"/>
                        <xsd:enumeration value="RINEX Technology"/>
                        <xsd:enumeration value="Rio Tinto"/>
                        <xsd:enumeration value="RMIT University"/>
                        <xsd:enumeration value="Rochestor Institute of Technology"/>
                        <xsd:enumeration value="Rock Spring Ventures"/>
                        <xsd:enumeration value="Rocket-X Media Pte Ltd."/>
                        <xsd:enumeration value="Rockwell Automation"/>
                        <xsd:enumeration value="Rosselló Abogados"/>
                        <xsd:enumeration value="Royal Adelaide Hospital"/>
                        <xsd:enumeration value="Russell Investments"/>
                        <xsd:enumeration value="Russian Academy Of Agricultural Sciences (RAAS)"/>
                        <xsd:enumeration value="Russian Information Technology Association (RiTA)"/>
                        <xsd:enumeration value="Rutgers University"/>
                        <xsd:enumeration value="S&amp;I International"/>
                        <xsd:enumeration value="SAE International"/>
                        <xsd:enumeration value="Safe Kids China"/>
                        <xsd:enumeration value="SAIC-Frederick, Inc"/>
                        <xsd:enumeration value="Saigon Cosmetics Corporation (SCC)"/>
                        <xsd:enumeration value="Salans LLP"/>
                        <xsd:enumeration value="Salesforce.com"/>
                        <xsd:enumeration value="Samsung Economic Research Institute (SERI)"/>
                        <xsd:enumeration value="Sandler &amp; Travis Trade Advisory Services (STTAS)"/>
                        <xsd:enumeration value="Sang Myung Women's University"/>
                        <xsd:enumeration value="Sanofi-Aventis"/>
                        <xsd:enumeration value="Santiago Chamber of Commerce"/>
                        <xsd:enumeration value="Saracom"/>
                        <xsd:enumeration value="Satcon Technology Corporation"/>
                        <xsd:enumeration value="Schneider Electric"/>
                        <xsd:enumeration value="Science and Technology Policy Institute (STEPI)"/>
                        <xsd:enumeration value="Scientific American"/>
                        <xsd:enumeration value="Scotiabank"/>
                        <xsd:enumeration value="Sea Resources Management Sdn Bhd (SRM)"/>
                        <xsd:enumeration value="Secretariat of the Convention on Biological Diversity"/>
                        <xsd:enumeration value="Secretariat of the Pacific Community (SPC)"/>
                        <xsd:enumeration value="Secure Online Shopping Association (SOSA)"/>
                        <xsd:enumeration value="Securities Commission Malaysia"/>
                        <xsd:enumeration value="Security Seals Limited (SSL)"/>
                        <xsd:enumeration value="Seinan Gakuin University (SGU)"/>
                        <xsd:enumeration value="Semiconductor Equipment and Materials International (SEMI)"/>
                        <xsd:enumeration value="Semiconductor Industry Association (SIA)"/>
                        <xsd:enumeration value="Sensis"/>
                        <xsd:enumeration value="Seoul Feed Co. Ltd."/>
                        <xsd:enumeration value="Seoul National University (SNU)"/>
                        <xsd:enumeration value="Servicio de Impuestos Internos de Chile"/>
                        <xsd:enumeration value="Shanghai Automotive Industry Corporation (SAIC)"/>
                        <xsd:enumeration value="Shanghai International Port Group"/>
                        <xsd:enumeration value="Sharp Electronics"/>
                        <xsd:enumeration value="Shih-Hsin University"/>
                        <xsd:enumeration value="Shin-Etsu Denso Co., Ltd."/>
                        <xsd:enumeration value="Shipping Australia Limited"/>
                        <xsd:enumeration value="Shirlaws"/>
                        <xsd:enumeration value="Sidley Austin LLP"/>
                        <xsd:enumeration value="Siemens Schweiz AG"/>
                        <xsd:enumeration value="SIFT Pty Ltd"/>
                        <xsd:enumeration value="Silk Road Telecommunications"/>
                        <xsd:enumeration value="Simplifying Passenger Travel (SPT)"/>
                        <xsd:enumeration value="Sinclair Capital LLC"/>
                        <xsd:enumeration value="Singapore Business and Professional Women’s Association (SBPWA)"/>
                        <xsd:enumeration value="Singapore Green Building Council (SGBC)"/>
                        <xsd:enumeration value="Singapore Institute of Directors"/>
                        <xsd:enumeration value="Singapore Institute of International Affairs"/>
                        <xsd:enumeration value="Singapore Management University"/>
                        <xsd:enumeration value="Sino-Singapore Tianjin Eco-city Investment Development Co. Ltd"/>
                        <xsd:enumeration value="Skadden"/>
                        <xsd:enumeration value="SKYS"/>
                        <xsd:enumeration value="Small and Medium Business Investment &amp; Consultation Co. Ltd"/>
                        <xsd:enumeration value="Small and Medium Industries Association of Malaysia"/>
                        <xsd:enumeration value="SMART Communications"/>
                        <xsd:enumeration value="Smith &amp; Nephew"/>
                        <xsd:enumeration value="SNC-Lavalin"/>
                        <xsd:enumeration value="SNV"/>
                        <xsd:enumeration value="Soap and Detergent Association (SDA)"/>
                        <xsd:enumeration value="Sociedad de Fomento Fabril (SOFOFA)"/>
                        <xsd:enumeration value="Sociedad Peruana de Derecho Ambiental (SPDA)"/>
                        <xsd:enumeration value="Society for Worldwide Interbank Financial Telecommunication (SWIFT)"/>
                        <xsd:enumeration value="Society of Automotive Engineers of Japan (JSAE)"/>
                        <xsd:enumeration value="Society of Corporate Compliance and Ethics (SCCE)"/>
                        <xsd:enumeration value="Society of Indian Automobile Manufacturers (SIAM)"/>
                        <xsd:enumeration value="SoftBank"/>
                        <xsd:enumeration value="Solar Energy Industries Association (SEIA)"/>
                        <xsd:enumeration value="Solar Turbines Incorporated"/>
                        <xsd:enumeration value="Sony Corporation"/>
                        <xsd:enumeration value="Soochow University"/>
                        <xsd:enumeration value="Sookmyung Women’s University"/>
                        <xsd:enumeration value="Soong Sil University"/>
                        <xsd:enumeration value="Sound Global"/>
                        <xsd:enumeration value="Soundbuzz"/>
                        <xsd:enumeration value="Southern Perspectives"/>
                        <xsd:enumeration value="Southwestern Law School"/>
                        <xsd:enumeration value="Squire, Sanders &amp; Dempsey L.L.P."/>
                        <xsd:enumeration value="Standard &amp; Poor's"/>
                        <xsd:enumeration value="Standard Chartered Bank"/>
                        <xsd:enumeration value="Standards Australia"/>
                        <xsd:enumeration value="Stanford Center on Longevity"/>
                        <xsd:enumeration value="Stanford University"/>
                        <xsd:enumeration value="State Grid Corporation of China"/>
                        <xsd:enumeration value="State Street Global Advisors (SSgA)"/>
                        <xsd:enumeration value="STATS ChipPAC"/>
                        <xsd:enumeration value="Steinbeis-Transfer-Institute Intellectual Property Management (STI-IPM)"/>
                        <xsd:enumeration value="stratsec"/>
                        <xsd:enumeration value="Strive Foundation"/>
                        <xsd:enumeration value="Sukhothai Thammathirat Open University (STOU)"/>
                        <xsd:enumeration value="Superintendencia de Administradoras de Fondos de Pensiones (SAFP)"/>
                        <xsd:enumeration value="Sustainable Business Australia (SBA)"/>
                        <xsd:enumeration value="Sustainable Fisheries Management"/>
                        <xsd:enumeration value="Sustainable Oils"/>
                        <xsd:enumeration value="Suvitech"/>
                        <xsd:enumeration value="Suzuki Kogyo"/>
                        <xsd:enumeration value="Swedish Machinery Testing Institute (SMP)"/>
                        <xsd:enumeration value="Switzer"/>
                        <xsd:enumeration value="Sydney Water"/>
                        <xsd:enumeration value="Symantec Corporation"/>
                        <xsd:enumeration value="Syngenta"/>
                        <xsd:enumeration value="Syniverse Technologies"/>
                        <xsd:enumeration value="Synthetic Organic Chemical Manufacturers Association (SOCMA)"/>
                        <xsd:enumeration value="Syracuse University"/>
                        <xsd:enumeration value="TAITRA"/>
                        <xsd:enumeration value="Taman Safari Indonesia"/>
                        <xsd:enumeration value="Tamkang University"/>
                        <xsd:enumeration value="Target"/>
                        <xsd:enumeration value="Tata Communications"/>
                        <xsd:enumeration value="Tata Motors"/>
                        <xsd:enumeration value="T.C. Hoffmann &amp; Associates, LLC (TCH&amp;A)"/>
                        <xsd:enumeration value="Technology Transfer Network (TTN)"/>
                        <xsd:enumeration value="TECO"/>
                        <xsd:enumeration value="Telecommunications Users Association of New Zealand (TUANZ)"/>
                        <xsd:enumeration value="Telefónica del Perú"/>
                        <xsd:enumeration value="Telemedicine Reference Center Ltd. (TRCL)"/>
                        <xsd:enumeration value="TELKOM"/>
                        <xsd:enumeration value="Telmex"/>
                        <xsd:enumeration value="Telstra"/>
                        <xsd:enumeration value="Terra Novum"/>
                        <xsd:enumeration value="Thailand Center of Excellence for Life Sciences (TCELS)"/>
                        <xsd:enumeration value="Thailand Conventions and Exhibition Bureau (TCEB)"/>
                        <xsd:enumeration value="Thailand Development Research Institute (TDRI)"/>
                        <xsd:enumeration value="Thailand Institute of Scientific and Technological Research (TISTR)"/>
                        <xsd:enumeration value="The Asia Foundation"/>
                        <xsd:enumeration value="The Distillery"/>
                        <xsd:enumeration value="The Electrical and Electronics Association of Malaysia (TEEAM)"/>
                        <xsd:enumeration value="The Global Compact"/>
                        <xsd:enumeration value="The Green Building Initiative (GBI)"/>
                        <xsd:enumeration value="The International Air Cargo Association (TIACA)"/>
                        <xsd:enumeration value="The Logistics Institute – Asia Pacific (TLI-AP)"/>
                        <xsd:enumeration value="The National Telecommunications Commission (NTC)"/>
                        <xsd:enumeration value="The Nature Conservancy (TNC)"/>
                        <xsd:enumeration value="The Sunyata Group"/>
                        <xsd:enumeration value="Thomas Jefferson School of Law"/>
                        <xsd:enumeration value="Thomson Scientific"/>
                        <xsd:enumeration value="TIAA-CREF"/>
                        <xsd:enumeration value="Tim Haahs Engineers and Architects"/>
                        <xsd:enumeration value="TIME Engineering Berhad"/>
                        <xsd:enumeration value="TLC"/>
                        <xsd:enumeration value="Tokyo City University"/>
                        <xsd:enumeration value="Tomy Company Limited"/>
                        <xsd:enumeration value="Topitop"/>
                        <xsd:enumeration value="Toshiba"/>
                        <xsd:enumeration value="Tourism New Zealand"/>
                        <xsd:enumeration value="Toy Industry Association (TIA)"/>
                        <xsd:enumeration value="Toyo University"/>
                        <xsd:enumeration value="Toyohashi University of Technology"/>
                        <xsd:enumeration value="Toyota"/>
                        <xsd:enumeration value="TRACE"/>
                        <xsd:enumeration value="Trade and Environment Solutions (Tesol)"/>
                        <xsd:enumeration value="Trade Facilitation Services"/>
                        <xsd:enumeration value="TradeBeam"/>
                        <xsd:enumeration value="Tradegate"/>
                        <xsd:enumeration value="Tradelink"/>
                        <xsd:enumeration value="Trade-Van Information Services Company"/>
                        <xsd:enumeration value="Tran H. N. &amp; Associates"/>
                        <xsd:enumeration value="Transparency International"/>
                        <xsd:enumeration value="Transport and Chartering Corporation (VIETFRACHT)"/>
                        <xsd:enumeration value="Trialogue Assurance Services (TAS)"/>
                        <xsd:enumeration value="TRPC"/>
                        <xsd:enumeration value="TRUSTe"/>
                        <xsd:enumeration value="Tsinghua University"/>
                        <xsd:enumeration value="TSMC"/>
                        <xsd:enumeration value="TTG Asia"/>
                        <xsd:enumeration value="Tu Transformas"/>
                        <xsd:enumeration value="Tufts University"/>
                        <xsd:enumeration value="Tuskegee University"/>
                        <xsd:enumeration value="Tzu Chi University"/>
                        <xsd:enumeration value="Twitter"/>
                        <xsd:enumeration value="Tyco Telecommunications"/>
                        <xsd:enumeration value="Ulteig"/>
                        <xsd:enumeration value="Underwriters Laboratories Inc."/>
                        <xsd:enumeration value="Unisys"/>
                        <xsd:enumeration value="United Laboratories"/>
                        <xsd:enumeration value="United Nations"/>
                        <xsd:enumeration value="United Nations Centre for Trade Facilitation and Electronic Business (UN/CEFACT)"/>
                        <xsd:enumeration value="United Nations Children’s Fund (UNICEF)"/>
                        <xsd:enumeration value="United Nations Commission on International Trade Law (UNCITRAL)"/>
                        <xsd:enumeration value="United Nations Commission on Sustainable Development (CSD)"/>
                        <xsd:enumeration value="United Nations Conference on Trade and Development (UNCTAD)"/>
                        <xsd:enumeration value="United Nations Counter-Terrorism Committee (CTC)"/>
                        <xsd:enumeration value="United Nations Counter-Terrorism Committee Executive Directorate (UN CTED)"/>
                        <xsd:enumeration value="United Nations Development Program (UNDP)"/>
                        <xsd:enumeration value="United Nations Economic and Social Commission for Asia and the Pacific (ESCAP)"/>
                        <xsd:enumeration value="United Nations Economic Commission for Europe (UNECE)"/>
                        <xsd:enumeration value="United Nations Economic Commission for Latin America and the Caribbean (UN ECLAC)"/>
                        <xsd:enumeration value="United Nations Environment Programme (UNEP)"/>
                        <xsd:enumeration value="United Nations High-Level Task Force on the Global Food Security Crisis (UNHLTF)"/>
                        <xsd:enumeration value="United Nations Industrial Development Organization (UNIDO)"/>
                        <xsd:enumeration value="United Nations International Strategy for Disaster Reduction (UN/ISDR)"/>
                        <xsd:enumeration value="United Nations Office for the Coordination of Humanitarian Affairs (UNOCHA)"/>
                        <xsd:enumeration value="United Nations Office on Drugs and Crime (UNODC)"/>
                        <xsd:enumeration value="United Nations System Influenza Coordination (UNSIC)"/>
                        <xsd:enumeration value="United Nations University"/>
                        <xsd:enumeration value="United Parcel Service (UPS)"/>
                        <xsd:enumeration value="United States Chamber of Commerce (USCC)"/>
                        <xsd:enumeration value="United States Council for Automotive Research (USCAR)"/>
                        <xsd:enumeration value="United States Council for International Business (USCIB)"/>
                        <xsd:enumeration value="United States Pharmacopeia (USP)"/>
                        <xsd:enumeration value="United Technologies Research Center (UTRC)"/>
                        <xsd:enumeration value="Universidad de San Martin de Porres"/>
                        <xsd:enumeration value="Universidad del Pacífico"/>
                        <xsd:enumeration value="Universidad Nacional Autónoma de México"/>
                        <xsd:enumeration value="Universitas Indonesia (UI)"/>
                        <xsd:enumeration value="Universiti Brunei Darussalam (UBD)"/>
                        <xsd:enumeration value="Universiti Putra Malaysia"/>
                        <xsd:enumeration value="University of Adelaide"/>
                        <xsd:enumeration value="University of Auckland"/>
                        <xsd:enumeration value="University of British Columbia"/>
                        <xsd:enumeration value="University of Calgary"/>
                        <xsd:enumeration value="University of California"/>
                        <xsd:enumeration value="University of California, Berkeley"/>
                        <xsd:enumeration value="University of California Davis"/>
                        <xsd:enumeration value="University of California, San Diego (UCSD)"/>
                        <xsd:enumeration value="University of Canberra"/>
                        <xsd:enumeration value="University of Chile"/>
                        <xsd:enumeration value="University of Denver"/>
                        <xsd:enumeration value="University of Hawai'i"/>
                        <xsd:enumeration value="University of Hong Kong"/>
                        <xsd:enumeration value="University of Indonesia"/>
                        <xsd:enumeration value="University of Kansas"/>
                        <xsd:enumeration value="University of Kent"/>
                        <xsd:enumeration value="University of Maryland"/>
                        <xsd:enumeration value="University of Melbourne"/>
                        <xsd:enumeration value="University of Michigan"/>
                        <xsd:enumeration value="University of Milan"/>
                        <xsd:enumeration value="University of New South Wales"/>
                        <xsd:enumeration value="University of North Carolina"/>
                        <xsd:enumeration value="University of Notre Dame"/>
                        <xsd:enumeration value="University of Nottingham"/>
                        <xsd:enumeration value="University of Ottawa"/>
                        <xsd:enumeration value="University of Pennsylvania"/>
                        <xsd:enumeration value="University of São Paulo"/>
                        <xsd:enumeration value="University of South Australia"/>
                        <xsd:enumeration value="University of Southern California"/>
                        <xsd:enumeration value="University of Southern Queensland"/>
                        <xsd:enumeration value="University of Sydney"/>
                        <xsd:enumeration value="University of Tasmania"/>
                        <xsd:enumeration value="University of the Philippines"/>
                        <xsd:enumeration value="University of the Philippines, Diliman"/>
                        <xsd:enumeration value="University of the Philippines Los Baños"/>
                        <xsd:enumeration value="University of Tokyo"/>
                        <xsd:enumeration value="University of Toronto"/>
                        <xsd:enumeration value="University of Tsukuba"/>
                        <xsd:enumeration value="University of Twente"/>
                        <xsd:enumeration value="University of Utah"/>
                        <xsd:enumeration value="University of Waikato"/>
                        <xsd:enumeration value="University of Western Australia"/>
                        <xsd:enumeration value="University of Western Sydney"/>
                        <xsd:enumeration value="University of Wollongong"/>
                        <xsd:enumeration value="University-Industry Demonstration Partnership (UIDP)"/>
                        <xsd:enumeration value="Urban Institute"/>
                        <xsd:enumeration value="Urban Resilience Strategies"/>
                        <xsd:enumeration value="U.S. Bank"/>
                        <xsd:enumeration value="U.S. Chamber of Commerce"/>
                        <xsd:enumeration value="US-ASEAN Business Council"/>
                        <xsd:enumeration value="US Council for International Business"/>
                        <xsd:enumeration value="USA Poultry and Egg Export Council (USAPEEC)"/>
                        <xsd:enumeration value="Value Innovation Action Camp (VIAC) Korea"/>
                        <xsd:enumeration value="Vanderbilt University"/>
                        <xsd:enumeration value="Veda Advantage"/>
                        <xsd:enumeration value="Vegetable Marketing Organization (VMO)"/>
                        <xsd:enumeration value="Venus Group"/>
                        <xsd:enumeration value="Veolia Water"/>
                        <xsd:enumeration value="Vereenigde"/>
                        <xsd:enumeration value="Verizon"/>
                        <xsd:enumeration value="Victoria University"/>
                        <xsd:enumeration value="Vietfracht"/>
                        <xsd:enumeration value="Vietnam Academy of Agricultural Sciences (VAAS)"/>
                        <xsd:enumeration value="Vietnam Academy of Social Sciences (VASS)"/>
                        <xsd:enumeration value="Vietnam Airlines Corporation"/>
                        <xsd:enumeration value="Vietnam Association for SMEs"/>
                        <xsd:enumeration value="Vietnam Chamber of Commerce and Industry (VCCI)"/>
                        <xsd:enumeration value="Vietnam Competitiveness Initiative (VNCI)"/>
                        <xsd:enumeration value="Vietnam E-Commerce and Information Technology Agency (VECITA)"/>
                        <xsd:enumeration value="Vietnam Institute of Geosciences and Mineral Resources (VIGMR)"/>
                        <xsd:enumeration value="Vietnam National University of Hanoi (VNUH)"/>
                        <xsd:enumeration value="Vietnam Post and Telecommunications Group (VNPT)"/>
                        <xsd:enumeration value="Vietnam Tea Association"/>
                        <xsd:enumeration value="Viet Nam Women’s Union"/>
                        <xsd:enumeration value="Vietnamese Academy of Science and Technology (VAST)"/>
                        <xsd:enumeration value="VietSoftware"/>
                        <xsd:enumeration value="Viettech"/>
                        <xsd:enumeration value="Vinos De Chile"/>
                        <xsd:enumeration value="Visa"/>
                        <xsd:enumeration value="Warner Bros. Online"/>
                        <xsd:enumeration value="Waseda University"/>
                        <xsd:enumeration value="Washington Trade Reports (WTR)"/>
                        <xsd:enumeration value="Water Resources University (WRU)"/>
                        <xsd:enumeration value="Wellness Institute"/>
                        <xsd:enumeration value="Western Renewables Group"/>
                        <xsd:enumeration value="Whirlpool"/>
                        <xsd:enumeration value="White &amp; Case"/>
                        <xsd:enumeration value="Whole Earth Essentials, LLC"/>
                        <xsd:enumeration value="Wildlife Conservation Society (WCS)"/>
                        <xsd:enumeration value="Wiley-Blackwell"/>
                        <xsd:enumeration value="Wiliam"/>
                        <xsd:enumeration value="Winemakers Federation of Australia (WFA)"/>
                        <xsd:enumeration value="Winrock International"/>
                        <xsd:enumeration value="W.J. Byrnes &amp; Co."/>
                        <xsd:enumeration value="Women Leaders’ Network (WLN)"/>
                        <xsd:enumeration value="Women's World Banking"/>
                        <xsd:enumeration value="World Bank"/>
                        <xsd:enumeration value="World Bank Institute (WBI)"/>
                        <xsd:enumeration value="World BASC Organization"/>
                        <xsd:enumeration value="World Customs Organization (WCO)"/>
                        <xsd:enumeration value="World Economic Forum"/>
                        <xsd:enumeration value="World Electronics Forum"/>
                        <xsd:enumeration value="World Energy Council"/>
                        <xsd:enumeration value="World Food Programme (WFP)"/>
                        <xsd:enumeration value="World Green Building Council"/>
                        <xsd:enumeration value="World Health Organization (WHO)"/>
                        <xsd:enumeration value="World Intellectual Property Organization (WIPO)"/>
                        <xsd:enumeration value="World Meteorological Organization (WMO)"/>
                        <xsd:enumeration value="World Organisation for Animal Health (OIE)"/>
                        <xsd:enumeration value="World Resource Institute"/>
                        <xsd:enumeration value="World Self-Medication Industry (WSMI)"/>
                        <xsd:enumeration value="World Semiconductor Council (WSC)"/>
                        <xsd:enumeration value="World Tourism Organization (UNWTO)"/>
                        <xsd:enumeration value="World Trade Institute (WTI)"/>
                        <xsd:enumeration value="World Trade Organization (WTO)"/>
                        <xsd:enumeration value="World Travel &amp; Tourism Council (WTTC)"/>
                        <xsd:enumeration value="World Wildlife Fund (WWF)"/>
                        <xsd:enumeration value="Worldwide System for Conformity Testing and Certification of Electrotechnical Equipment and Components (IECEE)"/>
                        <xsd:enumeration value="Worrell Water Technologies"/>
                        <xsd:enumeration value="Xiamen University"/>
                        <xsd:enumeration value="Xi’an Jiaotong University"/>
                        <xsd:enumeration value="Xue Xue Institute"/>
                        <xsd:enumeration value="Yahoo Japan Corporation"/>
                        <xsd:enumeration value="Yale University"/>
                        <xsd:enumeration value="YAOX Edutainment"/>
                        <xsd:enumeration value="Yeon Technologies"/>
                        <xsd:enumeration value="Yeungnam University"/>
                        <xsd:enumeration value="Yokogawa Electric Corporation"/>
                        <xsd:enumeration value="Yonsei University"/>
                        <xsd:enumeration value="York University"/>
                        <xsd:enumeration value="Yunnan Nationalities University (YNU)"/>
                        <xsd:enumeration value="ZEN-NOH"/>
                        <xsd:enumeration value="Zhanjiang Guolian Aquatic Products Co Ltd"/>
                        <xsd:enumeration value="ZTE Corporation"/>
                      </xsd:restriction>
                    </xsd:simpleType>
                  </xsd:union>
                </xsd:simpleType>
              </xsd:element>
            </xsd:sequence>
          </xsd:extension>
        </xsd:complexContent>
      </xsd:complexType>
    </xsd:element>
    <xsd:element name="MDDBClass" ma:index="21" nillable="true" ma:displayName="Classification" ma:format="RadioButtons" ma:internalName="MDDBClass">
      <xsd:simpleType>
        <xsd:restriction base="dms:Choice">
          <xsd:enumeration value="Restricted"/>
          <xsd:enumeration value="Public"/>
        </xsd:restriction>
      </xsd:simpleType>
    </xsd:element>
    <xsd:element name="MDDBStatus" ma:index="22" nillable="true" ma:displayName="Status of Record" ma:format="RadioButtons" ma:internalName="MDDBStatus">
      <xsd:simpleType>
        <xsd:restriction base="dms:Choice">
          <xsd:enumeration value="Provisional"/>
          <xsd:enumeration value="Comple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MDDBVenCity xmlns="21825695-5fbc-4f8f-8909-2f62151a4dcc">San Francisco</MDDBVenCity>
    <MDDBVenEco xmlns="21825695-5fbc-4f8f-8909-2f62151a4dcc">United States</MDDBVenEco>
    <MDDBStatus xmlns="21825695-5fbc-4f8f-8909-2f62151a4dcc">Completed</MDDBStatus>
    <MDDBDocNum xmlns="21825695-5fbc-4f8f-8909-2f62151a4dcc">2011/SOM3/SCSC/055</MDDBDocNum>
    <MDDBEndDate xmlns="21825695-5fbc-4f8f-8909-2f62151a4dcc">2011-09-21T07:00:00+00:00</MDDBEndDate>
    <MDDBSubEco xmlns="21825695-5fbc-4f8f-8909-2f62151a4dcc">
      <Value>United States</Value>
    </MDDBSubEco>
    <MDDBOrder xmlns="21825695-5fbc-4f8f-8909-2f62151a4dcc">99999</MDDBOrder>
    <MDDBClass xmlns="21825695-5fbc-4f8f-8909-2f62151a4dcc">Public</MDDBClass>
    <MDDBDocType xmlns="21825695-5fbc-4f8f-8909-2f62151a4dcc">Paper</MDDBDocType>
    <MDDBSubOrg xmlns="21825695-5fbc-4f8f-8909-2f62151a4dcc"/>
    <MDDBStartDate xmlns="21825695-5fbc-4f8f-8909-2f62151a4dcc">2011-09-20T07:00:00+00:00</MDDBStartDate>
    <MDDBMeetingName xmlns="21825695-5fbc-4f8f-8909-2f62151a4dcc">Second Sub-Committee on Standards and Conformance Meeting 2011</MDDBMeetingName>
    <MDDBSubGroup xmlns="21825695-5fbc-4f8f-8909-2f62151a4dcc"/>
    <MDDBTitle xmlns="21825695-5fbc-4f8f-8909-2f62151a4dcc">APEC Wine Regulatory Forum Report</MDDBTitle>
    <MDDBGroup xmlns="21825695-5fbc-4f8f-8909-2f62151a4dcc">
      <Value>Sub-Committee on Standards and Conformance (SCSC)</Value>
    </MDDBGroup>
  </documentManagement>
</p:properties>
</file>

<file path=customXml/itemProps1.xml><?xml version="1.0" encoding="utf-8"?>
<ds:datastoreItem xmlns:ds="http://schemas.openxmlformats.org/officeDocument/2006/customXml" ds:itemID="{E7A6C017-95E2-43E2-82C8-4A22F36711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825695-5fbc-4f8f-8909-2f62151a4dc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8201E19-BC0C-421C-84A3-5EB96B16B514}">
  <ds:schemaRefs>
    <ds:schemaRef ds:uri="http://schemas.microsoft.com/sharepoint/v3/contenttype/forms"/>
  </ds:schemaRefs>
</ds:datastoreItem>
</file>

<file path=customXml/itemProps3.xml><?xml version="1.0" encoding="utf-8"?>
<ds:datastoreItem xmlns:ds="http://schemas.openxmlformats.org/officeDocument/2006/customXml" ds:itemID="{2A1C0B3B-4FCE-4D47-84B1-FE510F5208F2}">
  <ds:schemaRefs>
    <ds:schemaRef ds:uri="http://schemas.microsoft.com/office/2006/metadata/longProperties"/>
  </ds:schemaRefs>
</ds:datastoreItem>
</file>

<file path=customXml/itemProps4.xml><?xml version="1.0" encoding="utf-8"?>
<ds:datastoreItem xmlns:ds="http://schemas.openxmlformats.org/officeDocument/2006/customXml" ds:itemID="{5A28B606-0429-4CDD-9EDF-ACB0ECB1EEE1}">
  <ds:schemaRefs>
    <ds:schemaRef ds:uri="http://schemas.microsoft.com/office/2006/metadata/properties"/>
    <ds:schemaRef ds:uri="http://schemas.microsoft.com/office/infopath/2007/PartnerControls"/>
    <ds:schemaRef ds:uri="21825695-5fbc-4f8f-8909-2f62151a4dc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3279</Words>
  <Characters>18695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APEC Wine Regulatory Forum</vt:lpstr>
    </vt:vector>
  </TitlesOfParts>
  <Company>DOC</Company>
  <LinksUpToDate>false</LinksUpToDate>
  <CharactersWithSpaces>21931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APEC Wine Regulatory Forum</dc:title>
  <dc:subject/>
  <dc:creator>Computer Guru</dc:creator>
  <cp:keywords/>
  <cp:lastModifiedBy>Shin C. Kao</cp:lastModifiedBy>
  <cp:revision>2</cp:revision>
  <cp:lastPrinted>2011-09-17T23:08:00Z</cp:lastPrinted>
  <dcterms:created xsi:type="dcterms:W3CDTF">2024-10-23T18:16:00Z</dcterms:created>
  <dcterms:modified xsi:type="dcterms:W3CDTF">2024-10-23T18:16:00Z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ocHome">
    <vt:i4>1941765016</vt:i4>
  </property>
  <property fmtid="{D5CDD505-2E9C-101B-9397-08002B2CF9AE}" pid="4" name="Order">
    <vt:lpwstr>321000.000000000</vt:lpwstr>
  </property>
  <property fmtid="{D5CDD505-2E9C-101B-9397-08002B2CF9AE}" pid="5" name="Created">
    <vt:lpwstr>2011-10-10T21:53:39Z</vt:lpwstr>
  </property>
  <property fmtid="{D5CDD505-2E9C-101B-9397-08002B2CF9AE}" pid="6" name="Modified">
    <vt:lpwstr>2011-10-13T22:37:09Z</vt:lpwstr>
  </property>
</Properties>
</file>