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828BC" w14:textId="77777777" w:rsidR="00072E73" w:rsidRDefault="00072E73" w:rsidP="003159AD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pict w14:anchorId="2F9E7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1.65pt;margin-top:-14.25pt;width:182.2pt;height:82.7pt;z-index:1">
            <v:imagedata r:id="rId11" o:title=""/>
          </v:shape>
        </w:pict>
      </w:r>
    </w:p>
    <w:p w14:paraId="5C4F831F" w14:textId="77777777" w:rsidR="00072E73" w:rsidRDefault="00072E73" w:rsidP="003159AD">
      <w:pPr>
        <w:rPr>
          <w:sz w:val="28"/>
          <w:szCs w:val="28"/>
        </w:rPr>
      </w:pPr>
    </w:p>
    <w:p w14:paraId="71661965" w14:textId="77777777" w:rsidR="00072E73" w:rsidRDefault="00072E73" w:rsidP="003159AD">
      <w:pPr>
        <w:rPr>
          <w:sz w:val="28"/>
          <w:szCs w:val="28"/>
        </w:rPr>
      </w:pPr>
    </w:p>
    <w:p w14:paraId="74E92F6D" w14:textId="77777777" w:rsidR="00072E73" w:rsidRDefault="00072E73" w:rsidP="003159AD">
      <w:r>
        <w:fldChar w:fldCharType="begin"/>
      </w:r>
      <w:r>
        <w:instrText xml:space="preserve"> DATE \@ "d MMMM yyyy" </w:instrText>
      </w:r>
      <w:r>
        <w:fldChar w:fldCharType="separate"/>
      </w:r>
      <w:r w:rsidR="002B684A">
        <w:rPr>
          <w:noProof/>
        </w:rPr>
        <w:t>23 October 2024</w:t>
      </w:r>
      <w:r>
        <w:fldChar w:fldCharType="end"/>
      </w:r>
    </w:p>
    <w:p w14:paraId="30CD4CA1" w14:textId="77777777" w:rsidR="003159AD" w:rsidRPr="00072E73" w:rsidRDefault="00EE7468" w:rsidP="003159AD">
      <w:r w:rsidRPr="00072E73">
        <w:t xml:space="preserve">Dear </w:t>
      </w:r>
      <w:r w:rsidR="00072E73">
        <w:t xml:space="preserve">colleagues of the APEC Food Safety Cooperation Forum (FSCF) </w:t>
      </w:r>
    </w:p>
    <w:p w14:paraId="4F0182D8" w14:textId="77777777" w:rsidR="003159AD" w:rsidRPr="00072E73" w:rsidRDefault="003159AD" w:rsidP="003159AD">
      <w:pPr>
        <w:jc w:val="center"/>
        <w:rPr>
          <w:b/>
          <w:i/>
        </w:rPr>
      </w:pPr>
      <w:r w:rsidRPr="00072E73">
        <w:rPr>
          <w:b/>
          <w:i/>
        </w:rPr>
        <w:t>Questionnaire on the Acceptability and Relevance of the</w:t>
      </w:r>
      <w:r w:rsidRPr="00072E73">
        <w:rPr>
          <w:b/>
          <w:i/>
        </w:rPr>
        <w:br/>
        <w:t>APEC FSCF Import MRL Guideline for Pesticides</w:t>
      </w:r>
    </w:p>
    <w:p w14:paraId="080587D1" w14:textId="77777777" w:rsidR="003159AD" w:rsidRPr="00072E73" w:rsidRDefault="003159AD" w:rsidP="003159AD">
      <w:r w:rsidRPr="00072E73">
        <w:t xml:space="preserve">Under </w:t>
      </w:r>
      <w:r w:rsidR="00072E73">
        <w:t>the</w:t>
      </w:r>
      <w:r w:rsidRPr="00072E73">
        <w:t xml:space="preserve"> APEC </w:t>
      </w:r>
      <w:r w:rsidR="00072E73">
        <w:t>FSCF</w:t>
      </w:r>
      <w:r w:rsidRPr="00072E73">
        <w:t xml:space="preserve"> </w:t>
      </w:r>
      <w:r w:rsidR="004A67B3">
        <w:t xml:space="preserve">regulatory cooperation </w:t>
      </w:r>
      <w:r w:rsidRPr="00072E73">
        <w:t xml:space="preserve">project (led by Australia), a voluntary guidance document on possible approaches to achieve alignment of international MRLs has been developed </w:t>
      </w:r>
      <w:r w:rsidR="00072E73">
        <w:t>and will be published as a formal</w:t>
      </w:r>
      <w:r w:rsidRPr="00072E73">
        <w:t xml:space="preserve"> APEC document</w:t>
      </w:r>
      <w:r w:rsidR="00072E73">
        <w:t xml:space="preserve"> entitled</w:t>
      </w:r>
      <w:r w:rsidRPr="00072E73">
        <w:t xml:space="preserve"> “</w:t>
      </w:r>
      <w:r w:rsidRPr="00072E73">
        <w:rPr>
          <w:i/>
        </w:rPr>
        <w:t>Import MRL Guideline for Pesticides”.</w:t>
      </w:r>
    </w:p>
    <w:p w14:paraId="57380D41" w14:textId="77777777" w:rsidR="003159AD" w:rsidRPr="00072E73" w:rsidRDefault="00FC0B32" w:rsidP="003159AD">
      <w:r>
        <w:t xml:space="preserve">The </w:t>
      </w:r>
      <w:r w:rsidRPr="00FC0B32">
        <w:rPr>
          <w:i/>
        </w:rPr>
        <w:t>Guideline</w:t>
      </w:r>
      <w:r w:rsidR="003159AD" w:rsidRPr="00072E73">
        <w:t xml:space="preserve"> is based on the concept of making best possible use of international, regional or exporting country data assessments and intake risk estimates to </w:t>
      </w:r>
      <w:r w:rsidR="00072E73">
        <w:t>support requests for pesticide i</w:t>
      </w:r>
      <w:r w:rsidR="003159AD" w:rsidRPr="00072E73">
        <w:t>mport MRLs.</w:t>
      </w:r>
    </w:p>
    <w:p w14:paraId="1C615686" w14:textId="77777777" w:rsidR="003159AD" w:rsidRPr="00072E73" w:rsidRDefault="003159AD" w:rsidP="003159AD">
      <w:r w:rsidRPr="00072E73">
        <w:t xml:space="preserve">Now that the </w:t>
      </w:r>
      <w:r w:rsidRPr="00FC0B32">
        <w:rPr>
          <w:i/>
        </w:rPr>
        <w:t>Guideline</w:t>
      </w:r>
      <w:r w:rsidRPr="00072E73">
        <w:t xml:space="preserve"> has been circulated and endorsed by APEC</w:t>
      </w:r>
      <w:r w:rsidR="00072E73">
        <w:t xml:space="preserve"> FSCF</w:t>
      </w:r>
      <w:r w:rsidRPr="00072E73">
        <w:t xml:space="preserve"> </w:t>
      </w:r>
      <w:r w:rsidR="00FC0B32">
        <w:t xml:space="preserve">member </w:t>
      </w:r>
      <w:r w:rsidRPr="00072E73">
        <w:t>economies</w:t>
      </w:r>
      <w:r w:rsidR="00072E73">
        <w:t xml:space="preserve"> and the Sub-Committee on Standards and Conformance (SCSC)</w:t>
      </w:r>
      <w:r w:rsidRPr="00072E73">
        <w:t>, the APEC Wine Regulatory Forum (WRF) has developed this Questionnaire to:-</w:t>
      </w:r>
    </w:p>
    <w:p w14:paraId="5D411956" w14:textId="77777777" w:rsidR="003159AD" w:rsidRPr="00072E73" w:rsidRDefault="003159AD" w:rsidP="003159AD">
      <w:pPr>
        <w:numPr>
          <w:ilvl w:val="0"/>
          <w:numId w:val="5"/>
        </w:numPr>
      </w:pPr>
      <w:r w:rsidRPr="00072E73">
        <w:t>determine the extent to which APEC economies are able to apply the approaches suggested in the Guideline when considering requests for pesticide Import MRLs</w:t>
      </w:r>
      <w:r w:rsidR="00072E73">
        <w:t xml:space="preserve">; and </w:t>
      </w:r>
    </w:p>
    <w:p w14:paraId="2575DD19" w14:textId="77777777" w:rsidR="003159AD" w:rsidRPr="00072E73" w:rsidRDefault="003159AD" w:rsidP="003159AD">
      <w:pPr>
        <w:numPr>
          <w:ilvl w:val="0"/>
          <w:numId w:val="5"/>
        </w:numPr>
      </w:pPr>
      <w:r w:rsidRPr="00072E73">
        <w:t>gather information on possible capacity-building or technical workshops that could facilitate the implementation of the Guideline.</w:t>
      </w:r>
    </w:p>
    <w:p w14:paraId="35AFCE4A" w14:textId="77777777" w:rsidR="003159AD" w:rsidRPr="00072E73" w:rsidRDefault="00072E73" w:rsidP="003159AD">
      <w:r>
        <w:t>The APEC WRF</w:t>
      </w:r>
      <w:r w:rsidR="003159AD" w:rsidRPr="00072E73">
        <w:t xml:space="preserve"> would greatly appreciate your </w:t>
      </w:r>
      <w:r>
        <w:t xml:space="preserve">economy’s </w:t>
      </w:r>
      <w:r w:rsidR="003159AD" w:rsidRPr="00072E73">
        <w:t xml:space="preserve">contribution to this work by </w:t>
      </w:r>
      <w:r w:rsidR="00FB00A3" w:rsidRPr="00072E73">
        <w:t xml:space="preserve">reviewing the attached </w:t>
      </w:r>
      <w:r w:rsidR="00FB00A3" w:rsidRPr="00072E73">
        <w:rPr>
          <w:i/>
        </w:rPr>
        <w:t xml:space="preserve">Import MRL Submission </w:t>
      </w:r>
      <w:r w:rsidR="00FB00A3" w:rsidRPr="00072E73">
        <w:t xml:space="preserve">examples, </w:t>
      </w:r>
      <w:r w:rsidR="003159AD" w:rsidRPr="00072E73">
        <w:t>completing the following questions and where necessary, adding any additional comments you would like to offer.</w:t>
      </w:r>
    </w:p>
    <w:p w14:paraId="3489CE4A" w14:textId="77777777" w:rsidR="003159AD" w:rsidRPr="00072E73" w:rsidRDefault="003159AD" w:rsidP="003159AD">
      <w:r w:rsidRPr="00072E73">
        <w:t xml:space="preserve">Your responses will be summarised and presented to the next meeting of the </w:t>
      </w:r>
      <w:r w:rsidR="00072E73">
        <w:t>WRF</w:t>
      </w:r>
      <w:r w:rsidRPr="00072E73">
        <w:t xml:space="preserve"> (in early October 2016)</w:t>
      </w:r>
      <w:r w:rsidR="00072E73">
        <w:t xml:space="preserve">. We would be grateful for all FSCF members to note the appended questionnaire and provide responses by </w:t>
      </w:r>
      <w:r w:rsidR="00072E73">
        <w:rPr>
          <w:b/>
          <w:u w:val="single"/>
        </w:rPr>
        <w:t xml:space="preserve">no later than Tuesday 20 </w:t>
      </w:r>
      <w:r w:rsidRPr="00072E73">
        <w:rPr>
          <w:b/>
          <w:u w:val="single"/>
        </w:rPr>
        <w:t>September 2016</w:t>
      </w:r>
      <w:r w:rsidRPr="00072E73">
        <w:t xml:space="preserve"> to</w:t>
      </w:r>
      <w:r w:rsidR="00072E73">
        <w:t xml:space="preserve"> the C</w:t>
      </w:r>
      <w:r w:rsidRPr="00072E73">
        <w:t>o-</w:t>
      </w:r>
      <w:r w:rsidR="00072E73">
        <w:t>C</w:t>
      </w:r>
      <w:r w:rsidRPr="00072E73">
        <w:t>hairs of the APEC WRF MRL Working Group:</w:t>
      </w:r>
    </w:p>
    <w:p w14:paraId="25BBCBD2" w14:textId="77777777" w:rsidR="003159AD" w:rsidRPr="00072E73" w:rsidRDefault="003159AD" w:rsidP="003159AD">
      <w:r w:rsidRPr="00072E73">
        <w:tab/>
      </w:r>
      <w:r w:rsidRPr="00072E73">
        <w:tab/>
        <w:t xml:space="preserve">Mr Tony Battaglene (E-mail: </w:t>
      </w:r>
      <w:hyperlink r:id="rId12" w:history="1">
        <w:r w:rsidRPr="00072E73">
          <w:rPr>
            <w:rStyle w:val="Hyperlink"/>
          </w:rPr>
          <w:t>Tony@wfa.org.au</w:t>
        </w:r>
      </w:hyperlink>
      <w:r w:rsidRPr="00072E73">
        <w:t>)</w:t>
      </w:r>
      <w:r w:rsidRPr="00072E73">
        <w:br/>
      </w:r>
      <w:r w:rsidRPr="00072E73">
        <w:tab/>
      </w:r>
      <w:r w:rsidRPr="00072E73">
        <w:tab/>
        <w:t xml:space="preserve">Mr Dave Lunn (E-mail: </w:t>
      </w:r>
      <w:hyperlink r:id="rId13" w:history="1">
        <w:r w:rsidRPr="00072E73">
          <w:rPr>
            <w:rStyle w:val="Hyperlink"/>
          </w:rPr>
          <w:t>Dave.Lunn@mpi.govt.nz</w:t>
        </w:r>
      </w:hyperlink>
      <w:r w:rsidRPr="00072E73">
        <w:t>)</w:t>
      </w:r>
    </w:p>
    <w:p w14:paraId="3086F016" w14:textId="77777777" w:rsidR="003159AD" w:rsidRPr="00072E73" w:rsidRDefault="003159AD" w:rsidP="003159AD">
      <w:r w:rsidRPr="00072E73">
        <w:t xml:space="preserve">Thank you </w:t>
      </w:r>
      <w:r w:rsidR="00072E73">
        <w:t xml:space="preserve">in advance </w:t>
      </w:r>
      <w:r w:rsidRPr="00072E73">
        <w:t>for your cooperation</w:t>
      </w:r>
      <w:r w:rsidR="00072E73">
        <w:t xml:space="preserve">. </w:t>
      </w:r>
    </w:p>
    <w:p w14:paraId="43B549B1" w14:textId="77777777" w:rsidR="003159AD" w:rsidRPr="00072E73" w:rsidRDefault="003159AD" w:rsidP="003159AD"/>
    <w:p w14:paraId="1CD8F301" w14:textId="77777777" w:rsidR="00EB1E29" w:rsidRPr="00072E73" w:rsidRDefault="00072E73">
      <w:r>
        <w:t xml:space="preserve">Ms </w:t>
      </w:r>
      <w:r w:rsidR="00EE7468" w:rsidRPr="00072E73">
        <w:t>Jamie</w:t>
      </w:r>
      <w:r>
        <w:t xml:space="preserve"> Ferman </w:t>
      </w:r>
    </w:p>
    <w:p w14:paraId="49EF2FD3" w14:textId="77777777" w:rsidR="003159AD" w:rsidRPr="00072E73" w:rsidRDefault="003159AD">
      <w:r w:rsidRPr="00072E73">
        <w:t>APEC WRF</w:t>
      </w:r>
      <w:r w:rsidR="00072E73">
        <w:t>..?</w:t>
      </w:r>
    </w:p>
    <w:p w14:paraId="780A8FE9" w14:textId="77777777" w:rsidR="00EE7468" w:rsidRPr="00072E73" w:rsidRDefault="00EE7468"/>
    <w:p w14:paraId="483FCAD1" w14:textId="77777777" w:rsidR="00E576E9" w:rsidRPr="00072E73" w:rsidRDefault="00E576E9" w:rsidP="00E576E9">
      <w:pPr>
        <w:jc w:val="center"/>
        <w:rPr>
          <w:b/>
          <w:i/>
        </w:rPr>
      </w:pPr>
      <w:r w:rsidRPr="00072E73">
        <w:rPr>
          <w:b/>
          <w:i/>
        </w:rPr>
        <w:lastRenderedPageBreak/>
        <w:t>Questionnaire on the Acceptability and Relevance of the</w:t>
      </w:r>
      <w:r w:rsidRPr="00072E73">
        <w:rPr>
          <w:b/>
          <w:i/>
        </w:rPr>
        <w:br/>
        <w:t>APEC FSCF Import MRL Guideline for Pesticides</w:t>
      </w:r>
    </w:p>
    <w:tbl>
      <w:tblPr>
        <w:tblW w:w="9213" w:type="dxa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dashSmallGap" w:sz="4" w:space="0" w:color="000000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7871"/>
        <w:gridCol w:w="411"/>
        <w:gridCol w:w="404"/>
        <w:gridCol w:w="527"/>
      </w:tblGrid>
      <w:tr w:rsidR="00E576E9" w14:paraId="3B102808" w14:textId="77777777" w:rsidTr="00E576E9">
        <w:trPr>
          <w:cantSplit/>
        </w:trPr>
        <w:tc>
          <w:tcPr>
            <w:tcW w:w="7871" w:type="dxa"/>
            <w:tcBorders>
              <w:top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254806D" w14:textId="77777777" w:rsidR="00E576E9" w:rsidRPr="00EC5702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u w:val="single"/>
              </w:rPr>
            </w:pPr>
            <w:r w:rsidRPr="00EC5702">
              <w:rPr>
                <w:u w:val="single"/>
              </w:rPr>
              <w:t>Codex MRLs</w:t>
            </w:r>
          </w:p>
        </w:tc>
        <w:tc>
          <w:tcPr>
            <w:tcW w:w="41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FC0E6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>
              <w:t>Yes</w:t>
            </w:r>
          </w:p>
        </w:tc>
        <w:tc>
          <w:tcPr>
            <w:tcW w:w="40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27EF3A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>
              <w:t>No</w:t>
            </w:r>
          </w:p>
        </w:tc>
        <w:tc>
          <w:tcPr>
            <w:tcW w:w="52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115C56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>
              <w:t>NA</w:t>
            </w:r>
          </w:p>
        </w:tc>
      </w:tr>
      <w:tr w:rsidR="00E576E9" w14:paraId="2BAA84E5" w14:textId="77777777" w:rsidTr="00E576E9">
        <w:trPr>
          <w:cantSplit/>
        </w:trPr>
        <w:tc>
          <w:tcPr>
            <w:tcW w:w="9213" w:type="dxa"/>
            <w:gridSpan w:val="4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75DC9E1C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>1</w:t>
            </w:r>
            <w:r>
              <w:tab/>
            </w:r>
            <w:r w:rsidRPr="00F108D7">
              <w:t>Does your legislation or national MRL-setting policy allow recognition or adoption of Codex MRLs for imported food</w:t>
            </w:r>
          </w:p>
        </w:tc>
      </w:tr>
      <w:tr w:rsidR="00E576E9" w14:paraId="02366994" w14:textId="77777777" w:rsidTr="00E576E9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7B90E3F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a)</w:t>
            </w:r>
            <w:r>
              <w:tab/>
              <w:t>By automatic recognition (i.e. ‘by reference’ - without the need to individually include them in your national MRL list)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164648D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3722AA6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DDAE956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</w:tr>
      <w:tr w:rsidR="00E576E9" w14:paraId="544C8EC8" w14:textId="77777777" w:rsidTr="00E576E9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C7D0471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ab/>
            </w:r>
            <w:r>
              <w:tab/>
            </w:r>
            <w:r>
              <w:tab/>
              <w:t>i)</w:t>
            </w:r>
            <w:r>
              <w:tab/>
              <w:t>if no national MRL has been established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3204D4D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9426341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2E69E1D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</w:tr>
      <w:tr w:rsidR="00E576E9" w14:paraId="664A11DA" w14:textId="77777777" w:rsidTr="00E576E9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80E7D1A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ab/>
            </w:r>
            <w:r>
              <w:tab/>
            </w:r>
            <w:r>
              <w:tab/>
              <w:t>ii)</w:t>
            </w:r>
            <w:r>
              <w:tab/>
              <w:t>if a lower national MRL has been established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EE21E3E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AF1B85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FBFA5D8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  <w:tr w:rsidR="00E576E9" w14:paraId="2407495F" w14:textId="77777777" w:rsidTr="00E576E9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9BD5DA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b)</w:t>
            </w:r>
            <w:r>
              <w:tab/>
              <w:t>By inclusion of specific Codex MRLs into your national MRL list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F67D71F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DB4B2AC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8377EC7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0BDF6962" w14:textId="77777777" w:rsidTr="00E576E9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6969A60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ab/>
            </w:r>
            <w:r>
              <w:tab/>
            </w:r>
            <w:r>
              <w:tab/>
              <w:t>i)</w:t>
            </w:r>
            <w:r>
              <w:tab/>
              <w:t>if no national MRL has been established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AAD3F0D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5897F7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8CA81B8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  <w:tr w:rsidR="00E576E9" w14:paraId="075BEC2F" w14:textId="77777777" w:rsidTr="00E576E9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4DA79B2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ab/>
            </w:r>
            <w:r>
              <w:tab/>
            </w:r>
            <w:r>
              <w:tab/>
              <w:t>ii)</w:t>
            </w:r>
            <w:r>
              <w:tab/>
              <w:t>if a lower national MRL has been established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7B51C5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1FCBD92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8015D10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  <w:tr w:rsidR="00E576E9" w14:paraId="7219D1E2" w14:textId="77777777" w:rsidTr="00E576E9">
        <w:trPr>
          <w:cantSplit/>
        </w:trPr>
        <w:tc>
          <w:tcPr>
            <w:tcW w:w="9213" w:type="dxa"/>
            <w:gridSpan w:val="4"/>
            <w:tcBorders>
              <w:top w:val="dotted" w:sz="4" w:space="0" w:color="000000"/>
              <w:bottom w:val="single" w:sz="6" w:space="0" w:color="000000"/>
            </w:tcBorders>
            <w:shd w:val="clear" w:color="auto" w:fill="auto"/>
          </w:tcPr>
          <w:p w14:paraId="6C80717B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>Comments:</w:t>
            </w:r>
          </w:p>
          <w:p w14:paraId="168E748C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  <w:tr w:rsidR="00E576E9" w14:paraId="0FC95C30" w14:textId="77777777" w:rsidTr="00E576E9">
        <w:trPr>
          <w:cantSplit/>
        </w:trPr>
        <w:tc>
          <w:tcPr>
            <w:tcW w:w="787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95BFB0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>2</w:t>
            </w:r>
            <w:r>
              <w:tab/>
              <w:t xml:space="preserve">If a request for the inclusion of a specific Codex MRL into your national MRL list was supported by the summary information contained in the attached illustrative example </w:t>
            </w:r>
            <w:r w:rsidR="00FF4F63">
              <w:t>(Example A)</w:t>
            </w:r>
            <w:r>
              <w:t>, would this be sufficient for you to consider including the requested MRL in your national MRL list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7B50F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9A611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94B3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</w:p>
        </w:tc>
      </w:tr>
      <w:tr w:rsidR="00E576E9" w14:paraId="1B09E75C" w14:textId="77777777" w:rsidTr="00E576E9">
        <w:trPr>
          <w:cantSplit/>
        </w:trPr>
        <w:tc>
          <w:tcPr>
            <w:tcW w:w="9213" w:type="dxa"/>
            <w:gridSpan w:val="4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3AE26A04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>3</w:t>
            </w:r>
            <w:r>
              <w:tab/>
              <w:t>If not, please indicate (and if possible comment on) whether additional information would be needed on:</w:t>
            </w:r>
          </w:p>
        </w:tc>
      </w:tr>
      <w:tr w:rsidR="00E576E9" w14:paraId="5F6482EA" w14:textId="77777777" w:rsidTr="00E576E9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5FD67F8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a)</w:t>
            </w:r>
            <w:r>
              <w:tab/>
              <w:t>the Health Based Guidance Values (e.g. ADI, ARfD)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58A9419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605859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B2A434C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762EAF5D" w14:textId="77777777" w:rsidTr="00E576E9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DFF2FB6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b)</w:t>
            </w:r>
            <w:r>
              <w:tab/>
              <w:t>the residue definitions (for MRL-compliance and dietary intake assessment)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1D637C1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225AA67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A06E93D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653BD34F" w14:textId="77777777" w:rsidTr="00E576E9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80A6A68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c)</w:t>
            </w:r>
            <w:r>
              <w:tab/>
              <w:t>the authorised GAP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A12013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A586254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BC0F9CB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3514F084" w14:textId="77777777" w:rsidTr="00E576E9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267390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d)</w:t>
            </w:r>
            <w:r>
              <w:tab/>
              <w:t>the residue data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52C2A70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A64DD55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A8BED22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426EB808" w14:textId="77777777" w:rsidTr="00E576E9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5BD682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e)</w:t>
            </w:r>
            <w:r>
              <w:tab/>
              <w:t>the dietary exposure estimate (i.e. whether the consumption figures in the WHO GEMS/Food cluster diet covering your economy are appropriate)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1414246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F983373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CFA8936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4493C825" w14:textId="77777777" w:rsidTr="00E576E9">
        <w:trPr>
          <w:cantSplit/>
        </w:trPr>
        <w:tc>
          <w:tcPr>
            <w:tcW w:w="9213" w:type="dxa"/>
            <w:gridSpan w:val="4"/>
            <w:tcBorders>
              <w:top w:val="dotted" w:sz="4" w:space="0" w:color="000000"/>
              <w:bottom w:val="single" w:sz="6" w:space="0" w:color="000000"/>
            </w:tcBorders>
            <w:shd w:val="clear" w:color="auto" w:fill="auto"/>
          </w:tcPr>
          <w:p w14:paraId="2C96D576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>Comments</w:t>
            </w:r>
          </w:p>
          <w:p w14:paraId="3187DF71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</w:tbl>
    <w:p w14:paraId="747201F7" w14:textId="77777777" w:rsidR="00E576E9" w:rsidRDefault="00E576E9" w:rsidP="00E576E9"/>
    <w:p w14:paraId="54C2485B" w14:textId="77777777" w:rsidR="00E576E9" w:rsidRDefault="00E576E9" w:rsidP="00E576E9"/>
    <w:p w14:paraId="3C5EACFE" w14:textId="77777777" w:rsidR="00A53043" w:rsidRDefault="00A53043" w:rsidP="00E576E9"/>
    <w:p w14:paraId="171F4F43" w14:textId="77777777" w:rsidR="00A53043" w:rsidRDefault="00A53043" w:rsidP="00E576E9"/>
    <w:tbl>
      <w:tblPr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dashSmallGap" w:sz="4" w:space="0" w:color="000000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7871"/>
        <w:gridCol w:w="411"/>
        <w:gridCol w:w="404"/>
        <w:gridCol w:w="527"/>
      </w:tblGrid>
      <w:tr w:rsidR="00E576E9" w14:paraId="574B1363" w14:textId="77777777" w:rsidTr="00E1423F">
        <w:trPr>
          <w:cantSplit/>
        </w:trPr>
        <w:tc>
          <w:tcPr>
            <w:tcW w:w="787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7307FA7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</w:pPr>
            <w:r w:rsidRPr="00EC5702">
              <w:rPr>
                <w:u w:val="single"/>
              </w:rPr>
              <w:lastRenderedPageBreak/>
              <w:t xml:space="preserve">Other </w:t>
            </w:r>
            <w:r>
              <w:rPr>
                <w:u w:val="single"/>
              </w:rPr>
              <w:t xml:space="preserve">(Non-Codex) </w:t>
            </w:r>
            <w:r w:rsidRPr="00EC5702">
              <w:rPr>
                <w:u w:val="single"/>
              </w:rPr>
              <w:t>Import MRLs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DF9FF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8C5452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78BBFD4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</w:tr>
      <w:tr w:rsidR="00E576E9" w14:paraId="35D97B3D" w14:textId="77777777" w:rsidTr="00E1423F">
        <w:trPr>
          <w:cantSplit/>
        </w:trPr>
        <w:tc>
          <w:tcPr>
            <w:tcW w:w="9213" w:type="dxa"/>
            <w:gridSpan w:val="4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7633A1F7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>4</w:t>
            </w:r>
            <w:r>
              <w:tab/>
              <w:t>Does your legislation or national MRL-setting policy allow recognition or adoption of Import MRLs based on other country (trading partner) MRLs</w:t>
            </w:r>
          </w:p>
        </w:tc>
      </w:tr>
      <w:tr w:rsidR="00E576E9" w14:paraId="28ABA487" w14:textId="77777777" w:rsidTr="00E1423F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359AC66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a</w:t>
            </w:r>
            <w:r>
              <w:tab/>
              <w:t>By automatic recognition (i.e. without the need to individually include them in your national MRL list)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237ABB5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CC312E6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2B8DAB9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65E0C3B7" w14:textId="77777777" w:rsidTr="00E1423F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BD3A728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ab/>
            </w:r>
            <w:r>
              <w:tab/>
            </w:r>
            <w:r>
              <w:tab/>
              <w:t>i)</w:t>
            </w:r>
            <w:r>
              <w:tab/>
              <w:t>if no national MRL has been established</w:t>
            </w:r>
            <w:r>
              <w:tab/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1C09ABF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4FD7CD6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BAAE359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  <w:tr w:rsidR="00E576E9" w14:paraId="11C16FE1" w14:textId="77777777" w:rsidTr="00E1423F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AC14361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ab/>
            </w:r>
            <w:r>
              <w:tab/>
            </w:r>
            <w:r>
              <w:tab/>
              <w:t>ii)</w:t>
            </w:r>
            <w:r>
              <w:tab/>
              <w:t>if a lower national MRL has been established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342E2C3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8023CDE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8E5C4F3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  <w:tr w:rsidR="00E576E9" w14:paraId="082730D1" w14:textId="77777777" w:rsidTr="00E1423F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4EDB6CC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b</w:t>
            </w:r>
            <w:r>
              <w:tab/>
              <w:t>By inclusion of specific trading partner MRLs into your national MRL list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E8A8274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2BB8DE2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03EE6C1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2B637FF9" w14:textId="77777777" w:rsidTr="00E1423F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28865F7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ab/>
            </w:r>
            <w:r>
              <w:tab/>
            </w:r>
            <w:r>
              <w:tab/>
              <w:t>i)</w:t>
            </w:r>
            <w:r>
              <w:tab/>
              <w:t>if no national MRL has been established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5BCAB1C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FD1B6D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611FEA9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  <w:tr w:rsidR="00E576E9" w14:paraId="3A5EF904" w14:textId="77777777" w:rsidTr="00E1423F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331408F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ab/>
            </w:r>
            <w:r>
              <w:tab/>
            </w:r>
            <w:r>
              <w:tab/>
              <w:t>ii)</w:t>
            </w:r>
            <w:r>
              <w:tab/>
              <w:t>if a lower national MRL has been established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3868445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A8D0822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F7DDB9E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  <w:tr w:rsidR="00E576E9" w14:paraId="6D6D23B6" w14:textId="77777777" w:rsidTr="00E1423F">
        <w:trPr>
          <w:cantSplit/>
        </w:trPr>
        <w:tc>
          <w:tcPr>
            <w:tcW w:w="9213" w:type="dxa"/>
            <w:gridSpan w:val="4"/>
            <w:tcBorders>
              <w:top w:val="dotted" w:sz="4" w:space="0" w:color="000000"/>
              <w:bottom w:val="single" w:sz="6" w:space="0" w:color="000000"/>
            </w:tcBorders>
            <w:shd w:val="clear" w:color="auto" w:fill="auto"/>
          </w:tcPr>
          <w:p w14:paraId="6883E644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>Comments:</w:t>
            </w:r>
          </w:p>
          <w:p w14:paraId="2725BA69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  <w:tr w:rsidR="00E576E9" w14:paraId="629673D6" w14:textId="77777777" w:rsidTr="00E1423F">
        <w:trPr>
          <w:cantSplit/>
        </w:trPr>
        <w:tc>
          <w:tcPr>
            <w:tcW w:w="787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FFE798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>5</w:t>
            </w:r>
            <w:r>
              <w:tab/>
              <w:t>If a request for the inclusion of a specific trading partner MRL into your national MRL list was supported by the summary information contained in the attached illustrative example</w:t>
            </w:r>
            <w:r w:rsidR="00FF4F63">
              <w:t xml:space="preserve"> (Example B)</w:t>
            </w:r>
            <w:r>
              <w:t>, would this be sufficient for you to consider including the requested MRL in your national MRL list – provided the linked reference sources were to regional or national reviews that have been conducted to the same level of detail and depth as a JMPR assessment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6A0B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E7D6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ECD4A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</w:tr>
      <w:tr w:rsidR="00E576E9" w14:paraId="6F29BB1B" w14:textId="77777777" w:rsidTr="00E1423F">
        <w:trPr>
          <w:cantSplit/>
        </w:trPr>
        <w:tc>
          <w:tcPr>
            <w:tcW w:w="9213" w:type="dxa"/>
            <w:gridSpan w:val="4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40E6BE92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>6</w:t>
            </w:r>
            <w:r>
              <w:tab/>
              <w:t>If not, please indicate (and if possible comment on) whether additional information would be needed on:</w:t>
            </w:r>
          </w:p>
        </w:tc>
      </w:tr>
      <w:tr w:rsidR="00E576E9" w14:paraId="6720F1B6" w14:textId="77777777" w:rsidTr="00E1423F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EFBF35F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a)</w:t>
            </w:r>
            <w:r>
              <w:tab/>
              <w:t>the Health Based Guidance Values (e.g. ADI, ARfD)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2B44108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82F8841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28AEFDE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415C1A72" w14:textId="77777777" w:rsidTr="00E1423F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E5B9B1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b)</w:t>
            </w:r>
            <w:r>
              <w:tab/>
              <w:t>the residue definitions (for MRL-compliance and dietary intake assessment)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911AEB2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6678BA7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D6546DB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21320934" w14:textId="77777777" w:rsidTr="00E1423F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56F6DEB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c)</w:t>
            </w:r>
            <w:r>
              <w:tab/>
              <w:t>the authorised GAP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ED8966E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0FCD6E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748DC23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034AA8AB" w14:textId="77777777" w:rsidTr="00E1423F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797C53E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d)</w:t>
            </w:r>
            <w:r>
              <w:tab/>
              <w:t>the residue data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4769B97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53BAEF2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DB35182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67AA7DE4" w14:textId="77777777" w:rsidTr="00E1423F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23563B0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e)</w:t>
            </w:r>
            <w:r>
              <w:tab/>
              <w:t>the dietary exposure estimate (i.e. whether the consumption figures in the WHO GEMS/Food cluster diet covering your economy are appropriate)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53E404A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0353033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386DBCA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7726D94D" w14:textId="77777777" w:rsidTr="00E1423F">
        <w:trPr>
          <w:cantSplit/>
        </w:trPr>
        <w:tc>
          <w:tcPr>
            <w:tcW w:w="9213" w:type="dxa"/>
            <w:gridSpan w:val="4"/>
            <w:tcBorders>
              <w:top w:val="dotted" w:sz="4" w:space="0" w:color="000000"/>
              <w:bottom w:val="single" w:sz="6" w:space="0" w:color="000000"/>
            </w:tcBorders>
            <w:shd w:val="clear" w:color="auto" w:fill="auto"/>
          </w:tcPr>
          <w:p w14:paraId="12AC85CC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>Comments:</w:t>
            </w:r>
          </w:p>
          <w:p w14:paraId="7F95A125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  <w:p w14:paraId="2A5417EE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</w:tbl>
    <w:p w14:paraId="286B68FE" w14:textId="77777777" w:rsidR="00E576E9" w:rsidRDefault="00E576E9" w:rsidP="00E576E9"/>
    <w:p w14:paraId="3BA7A23A" w14:textId="77777777" w:rsidR="00A53043" w:rsidRDefault="00A53043" w:rsidP="00E576E9"/>
    <w:p w14:paraId="29076FA0" w14:textId="77777777" w:rsidR="00A53043" w:rsidRDefault="00A53043" w:rsidP="00E576E9"/>
    <w:tbl>
      <w:tblPr>
        <w:tblW w:w="9213" w:type="dxa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dashSmallGap" w:sz="4" w:space="0" w:color="000000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7871"/>
        <w:gridCol w:w="411"/>
        <w:gridCol w:w="404"/>
        <w:gridCol w:w="527"/>
      </w:tblGrid>
      <w:tr w:rsidR="00E576E9" w14:paraId="77CFBC33" w14:textId="77777777" w:rsidTr="00D354CB">
        <w:trPr>
          <w:cantSplit/>
        </w:trPr>
        <w:tc>
          <w:tcPr>
            <w:tcW w:w="787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D521DD3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</w:pPr>
            <w:r w:rsidRPr="00EC5702">
              <w:rPr>
                <w:u w:val="single"/>
              </w:rPr>
              <w:lastRenderedPageBreak/>
              <w:t>Processed food commodities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EF32D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D40925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6FBDC3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</w:tr>
      <w:tr w:rsidR="00E576E9" w14:paraId="363D43CD" w14:textId="77777777" w:rsidTr="00D354CB">
        <w:trPr>
          <w:cantSplit/>
        </w:trPr>
        <w:tc>
          <w:tcPr>
            <w:tcW w:w="9213" w:type="dxa"/>
            <w:gridSpan w:val="4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7773F2F9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>7</w:t>
            </w:r>
            <w:r>
              <w:tab/>
              <w:t>How does your legislation or MRL-compliance policy address the presence of pesticide residues in processed foods.</w:t>
            </w:r>
          </w:p>
        </w:tc>
      </w:tr>
      <w:tr w:rsidR="00E576E9" w14:paraId="5A5A196B" w14:textId="77777777" w:rsidTr="00D354CB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75EE75D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a)</w:t>
            </w:r>
            <w:r>
              <w:tab/>
              <w:t>For dried, concentrated or otherwise processed commodities, MRLs established for the raw agricultural commodity (e.g. grapes) also apply directly to the associated processed commodities (e.g. dried grapes, wine)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EDEB719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1230B89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87E24E4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263BB3D6" w14:textId="77777777" w:rsidTr="00D354CB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D8DF3F7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b)</w:t>
            </w:r>
            <w:r>
              <w:tab/>
              <w:t>Where residues concentrate during processing, and residues in the processed commodity are higher than the MRL for the raw commodity, MRLs are also established for the processed commodity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9D51941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F36BA3D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1939804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49E868C6" w14:textId="77777777" w:rsidTr="00D354CB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B6EDF2C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c)</w:t>
            </w:r>
            <w:r>
              <w:tab/>
              <w:t>For dried, concentrated or dehydrated commodities (such as dried grapes, tomato concentrate, fruit leathers, where only water has been removed during processing), any MRLs established for a raw agricultural commodity are applied after reconstitution (i.e. correcting for water loss)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774914C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DF6E32E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3763BFE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51AA13F3" w14:textId="77777777" w:rsidTr="00D354CB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408442D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d)</w:t>
            </w:r>
            <w:r>
              <w:tab/>
              <w:t>For other processed commodities, processing factors are applied to MRLs established for the raw agricultural commodity (e.g. grapes) to determine residue compliance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C2C60CA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D8A1BB2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6554E4F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6DB54097" w14:textId="77777777" w:rsidTr="00D354CB">
        <w:trPr>
          <w:cantSplit/>
        </w:trPr>
        <w:tc>
          <w:tcPr>
            <w:tcW w:w="9213" w:type="dxa"/>
            <w:gridSpan w:val="4"/>
            <w:tcBorders>
              <w:top w:val="dotted" w:sz="4" w:space="0" w:color="000000"/>
              <w:bottom w:val="single" w:sz="6" w:space="0" w:color="000000"/>
            </w:tcBorders>
            <w:shd w:val="clear" w:color="auto" w:fill="auto"/>
          </w:tcPr>
          <w:p w14:paraId="04CC36A9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>Comments:</w:t>
            </w:r>
          </w:p>
          <w:p w14:paraId="29599BA8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</w:tbl>
    <w:p w14:paraId="5D7BC269" w14:textId="77777777" w:rsidR="00E576E9" w:rsidRDefault="00E576E9" w:rsidP="00E576E9"/>
    <w:tbl>
      <w:tblPr>
        <w:tblW w:w="9213" w:type="dxa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dashSmallGap" w:sz="4" w:space="0" w:color="000000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7871"/>
        <w:gridCol w:w="411"/>
        <w:gridCol w:w="404"/>
        <w:gridCol w:w="527"/>
      </w:tblGrid>
      <w:tr w:rsidR="00E576E9" w14:paraId="67F1F1AD" w14:textId="77777777" w:rsidTr="00FF4F63">
        <w:trPr>
          <w:cantSplit/>
        </w:trPr>
        <w:tc>
          <w:tcPr>
            <w:tcW w:w="787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FDE232A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</w:pPr>
            <w:r w:rsidRPr="00EC5702">
              <w:rPr>
                <w:u w:val="single"/>
              </w:rPr>
              <w:t>Processes and procedures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7E71D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6A09E5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0A5F2C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</w:tr>
      <w:tr w:rsidR="00E576E9" w14:paraId="456D2E22" w14:textId="77777777" w:rsidTr="00FF4F63">
        <w:trPr>
          <w:cantSplit/>
        </w:trPr>
        <w:tc>
          <w:tcPr>
            <w:tcW w:w="9213" w:type="dxa"/>
            <w:gridSpan w:val="4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47D159C1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>8</w:t>
            </w:r>
            <w:r>
              <w:tab/>
              <w:t>Does your legislation or national MRL-setting policy permit Import MRLs to be submitted by</w:t>
            </w:r>
          </w:p>
        </w:tc>
      </w:tr>
      <w:tr w:rsidR="00E576E9" w14:paraId="6F4400F1" w14:textId="77777777" w:rsidTr="00FF4F63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88FB335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a)</w:t>
            </w:r>
            <w:r>
              <w:tab/>
              <w:t>Trading partner government agencies or embassies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BDABE77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1C99646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D96DA5E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0A7E46C5" w14:textId="77777777" w:rsidTr="00FF4F63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EE5119E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b)</w:t>
            </w:r>
            <w:r>
              <w:tab/>
              <w:t>Trading partner non-government grower associations or exporters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4E19BCF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E2343FD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9F44169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0E5F379B" w14:textId="77777777" w:rsidTr="00FF4F63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96D9D14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c)</w:t>
            </w:r>
            <w:r>
              <w:tab/>
              <w:t>Trading partner pesticide registrants or manufacturers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D2FD3DE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EDFD00D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B3D6BD9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4B5F31D1" w14:textId="77777777" w:rsidTr="00FF4F63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E4EBA1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d)</w:t>
            </w:r>
            <w:r>
              <w:tab/>
              <w:t>Others (please specify)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A3073C6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FD66F89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081B73B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6360F7F8" w14:textId="77777777" w:rsidTr="00FF4F63">
        <w:trPr>
          <w:cantSplit/>
        </w:trPr>
        <w:tc>
          <w:tcPr>
            <w:tcW w:w="9213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E070189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>Comments:</w:t>
            </w:r>
          </w:p>
          <w:p w14:paraId="0DD299BF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  <w:tr w:rsidR="00FF4F63" w14:paraId="541EB0E3" w14:textId="77777777" w:rsidTr="00FF4F63">
        <w:trPr>
          <w:cantSplit/>
        </w:trPr>
        <w:tc>
          <w:tcPr>
            <w:tcW w:w="9213" w:type="dxa"/>
            <w:gridSpan w:val="4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1A15DF28" w14:textId="77777777" w:rsidR="00FF4F63" w:rsidRDefault="00FF4F63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>9</w:t>
            </w:r>
            <w:r>
              <w:tab/>
              <w:t xml:space="preserve">Does your legislation or national MRL-setting policy have any requirements for </w:t>
            </w:r>
            <w:r w:rsidR="004B1519">
              <w:t>Import MRL requests to be supported by the data generators (e.g. the pesticide manufacturers)</w:t>
            </w:r>
          </w:p>
        </w:tc>
      </w:tr>
      <w:tr w:rsidR="00FF4F63" w14:paraId="461D7FDF" w14:textId="77777777" w:rsidTr="00FF4F63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874C683" w14:textId="77777777" w:rsidR="00FF4F63" w:rsidRDefault="00FF4F63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a)</w:t>
            </w:r>
            <w:r>
              <w:tab/>
            </w:r>
            <w:r w:rsidR="00E55E96">
              <w:t>When the active ingredient is authorised for use in your country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2F06574" w14:textId="77777777" w:rsidR="00FF4F63" w:rsidRDefault="00FF4F63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B71197E" w14:textId="77777777" w:rsidR="00FF4F63" w:rsidRDefault="00FF4F63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CEB9E1D" w14:textId="77777777" w:rsidR="00FF4F63" w:rsidRDefault="00FF4F63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FF4F63" w14:paraId="55D8C320" w14:textId="77777777" w:rsidTr="00FF4F63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4BF76D5" w14:textId="77777777" w:rsidR="00FF4F63" w:rsidRDefault="00FF4F63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b)</w:t>
            </w:r>
            <w:r>
              <w:tab/>
            </w:r>
            <w:r w:rsidR="00E55E96">
              <w:t>When the active ingredient is not authorised for use in your country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3ECE00" w14:textId="77777777" w:rsidR="00FF4F63" w:rsidRDefault="00FF4F63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471C352" w14:textId="77777777" w:rsidR="00FF4F63" w:rsidRDefault="00FF4F63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B5EFB3B" w14:textId="77777777" w:rsidR="00FF4F63" w:rsidRDefault="00FF4F63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FF4F63" w14:paraId="4E0A3313" w14:textId="77777777" w:rsidTr="00CC5204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C28168" w14:textId="77777777" w:rsidR="00FF4F63" w:rsidRDefault="00FF4F63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c)</w:t>
            </w:r>
            <w:r>
              <w:tab/>
            </w:r>
            <w:r w:rsidR="00E55E96">
              <w:t>When the active ingredient is no longer under patent protection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BEB6A5D" w14:textId="77777777" w:rsidR="00FF4F63" w:rsidRDefault="00FF4F63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15C6E18" w14:textId="77777777" w:rsidR="00FF4F63" w:rsidRDefault="00FF4F63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1F84F62" w14:textId="77777777" w:rsidR="00FF4F63" w:rsidRDefault="00FF4F63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FF4F63" w14:paraId="5C788876" w14:textId="77777777" w:rsidTr="00CC5204">
        <w:trPr>
          <w:cantSplit/>
        </w:trPr>
        <w:tc>
          <w:tcPr>
            <w:tcW w:w="9213" w:type="dxa"/>
            <w:gridSpan w:val="4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14:paraId="78563CE3" w14:textId="77777777" w:rsidR="00FF4F63" w:rsidRDefault="00FF4F63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>Comments:</w:t>
            </w:r>
          </w:p>
          <w:p w14:paraId="1F6ABA44" w14:textId="77777777" w:rsidR="00FF4F63" w:rsidRDefault="00FF4F63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  <w:tr w:rsidR="00E576E9" w14:paraId="7266EAD6" w14:textId="77777777" w:rsidTr="00CC5204">
        <w:trPr>
          <w:cantSplit/>
        </w:trPr>
        <w:tc>
          <w:tcPr>
            <w:tcW w:w="7871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717F4D5" w14:textId="77777777" w:rsidR="00E576E9" w:rsidRDefault="00E051CE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lastRenderedPageBreak/>
              <w:t>10</w:t>
            </w:r>
            <w:r w:rsidR="00E576E9">
              <w:tab/>
              <w:t>Are there any fees associated with making an Import MRL request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D183A51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81EBF8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446924A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</w:p>
        </w:tc>
      </w:tr>
      <w:tr w:rsidR="00E576E9" w14:paraId="1D5EFE0C" w14:textId="77777777" w:rsidTr="00FF4F63">
        <w:trPr>
          <w:cantSplit/>
        </w:trPr>
        <w:tc>
          <w:tcPr>
            <w:tcW w:w="9213" w:type="dxa"/>
            <w:gridSpan w:val="4"/>
            <w:tcBorders>
              <w:top w:val="dotted" w:sz="4" w:space="0" w:color="000000"/>
              <w:bottom w:val="single" w:sz="6" w:space="0" w:color="000000"/>
            </w:tcBorders>
            <w:shd w:val="clear" w:color="auto" w:fill="auto"/>
          </w:tcPr>
          <w:p w14:paraId="714BF84B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>Comments:</w:t>
            </w:r>
          </w:p>
          <w:p w14:paraId="0A814C76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  <w:tr w:rsidR="00E576E9" w14:paraId="674D00D8" w14:textId="77777777" w:rsidTr="00FF4F63">
        <w:trPr>
          <w:cantSplit/>
        </w:trPr>
        <w:tc>
          <w:tcPr>
            <w:tcW w:w="7871" w:type="dxa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044C828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>1</w:t>
            </w:r>
            <w:r w:rsidR="00E051CE">
              <w:t>1</w:t>
            </w:r>
            <w:r>
              <w:tab/>
              <w:t>Is there a website that provides information on: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9BF9068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513B282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FB3FF10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</w:p>
        </w:tc>
      </w:tr>
      <w:tr w:rsidR="00E576E9" w14:paraId="70BB6FA4" w14:textId="77777777" w:rsidTr="00FF4F63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0265E60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a)</w:t>
            </w:r>
            <w:r>
              <w:tab/>
              <w:t>Your national MRLs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AFF3EAD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D14365C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B763426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2E9E1D2A" w14:textId="77777777" w:rsidTr="00CC5204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1B6DE9D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b)</w:t>
            </w:r>
            <w:r>
              <w:tab/>
              <w:t>Import MRL policies, procedures and data requirements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F870693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A141191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EF2AB30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3BA5B381" w14:textId="77777777" w:rsidTr="00CC5204">
        <w:trPr>
          <w:cantSplit/>
        </w:trPr>
        <w:tc>
          <w:tcPr>
            <w:tcW w:w="9213" w:type="dxa"/>
            <w:gridSpan w:val="4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14:paraId="02D1AE1A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>Comments:</w:t>
            </w:r>
          </w:p>
          <w:p w14:paraId="4110C6C1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  <w:tr w:rsidR="00E051CE" w14:paraId="4A42529C" w14:textId="77777777" w:rsidTr="00CC5204">
        <w:trPr>
          <w:cantSplit/>
        </w:trPr>
        <w:tc>
          <w:tcPr>
            <w:tcW w:w="9213" w:type="dxa"/>
            <w:gridSpan w:val="4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5EE44117" w14:textId="77777777" w:rsidR="00E051CE" w:rsidRDefault="00E051CE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>12</w:t>
            </w:r>
            <w:r>
              <w:tab/>
              <w:t>Who is the contact point in your national agency responsible for MRL-setting</w:t>
            </w:r>
            <w:r w:rsidR="00CC5204">
              <w:t xml:space="preserve"> for food of plant origin</w:t>
            </w:r>
          </w:p>
          <w:p w14:paraId="75A1F867" w14:textId="77777777" w:rsidR="00E051CE" w:rsidRDefault="00E051CE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ab/>
              <w:t>Name (optional)</w:t>
            </w:r>
            <w:r w:rsidR="00CC5204">
              <w:tab/>
            </w:r>
          </w:p>
          <w:p w14:paraId="61C37A95" w14:textId="77777777" w:rsidR="00E051CE" w:rsidRDefault="00E051CE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ab/>
              <w:t>Title:</w:t>
            </w:r>
            <w:r w:rsidR="00CC5204">
              <w:tab/>
            </w:r>
            <w:r w:rsidR="00CC5204">
              <w:tab/>
            </w:r>
            <w:r w:rsidR="00CC5204">
              <w:tab/>
            </w:r>
          </w:p>
          <w:p w14:paraId="23428703" w14:textId="77777777" w:rsidR="00E051CE" w:rsidRDefault="00E051CE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ab/>
              <w:t>Agency:</w:t>
            </w:r>
            <w:r w:rsidR="00CC5204">
              <w:tab/>
            </w:r>
            <w:r w:rsidR="00CC5204">
              <w:tab/>
            </w:r>
            <w:r w:rsidR="00CC5204">
              <w:tab/>
            </w:r>
          </w:p>
        </w:tc>
      </w:tr>
      <w:tr w:rsidR="00E051CE" w14:paraId="4F4E69C4" w14:textId="77777777" w:rsidTr="00E051CE">
        <w:trPr>
          <w:cantSplit/>
        </w:trPr>
        <w:tc>
          <w:tcPr>
            <w:tcW w:w="9213" w:type="dxa"/>
            <w:gridSpan w:val="4"/>
            <w:tcBorders>
              <w:top w:val="dotted" w:sz="4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6D680050" w14:textId="77777777" w:rsidR="00E051CE" w:rsidRDefault="00E051CE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>1</w:t>
            </w:r>
            <w:r w:rsidR="00CC5204">
              <w:t>3</w:t>
            </w:r>
            <w:r>
              <w:tab/>
              <w:t>Who is the contact point in your national agency responsible for residue testing and MRL-compliance MRL-setting</w:t>
            </w:r>
            <w:r w:rsidR="00CC5204">
              <w:t xml:space="preserve"> for food of plant origin</w:t>
            </w:r>
          </w:p>
          <w:p w14:paraId="49E0EE81" w14:textId="77777777" w:rsidR="00E051CE" w:rsidRDefault="00E051CE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ab/>
              <w:t>Name (optional)</w:t>
            </w:r>
            <w:r w:rsidR="00CC5204">
              <w:tab/>
            </w:r>
          </w:p>
          <w:p w14:paraId="552AA500" w14:textId="77777777" w:rsidR="00E051CE" w:rsidRDefault="00E051CE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ab/>
              <w:t>Title:</w:t>
            </w:r>
            <w:r w:rsidR="00CC5204">
              <w:tab/>
            </w:r>
            <w:r w:rsidR="00CC5204">
              <w:tab/>
            </w:r>
            <w:r w:rsidR="00CC5204">
              <w:tab/>
            </w:r>
          </w:p>
          <w:p w14:paraId="6008DE8B" w14:textId="77777777" w:rsidR="00E051CE" w:rsidRDefault="00E051CE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ab/>
              <w:t>Agency:</w:t>
            </w:r>
            <w:r w:rsidR="00CC5204">
              <w:tab/>
            </w:r>
            <w:r w:rsidR="00CC5204">
              <w:tab/>
            </w:r>
            <w:r w:rsidR="00CC5204">
              <w:tab/>
            </w:r>
          </w:p>
        </w:tc>
      </w:tr>
    </w:tbl>
    <w:p w14:paraId="0E3C53EE" w14:textId="77777777" w:rsidR="00E576E9" w:rsidRDefault="00E576E9" w:rsidP="00E576E9"/>
    <w:p w14:paraId="3B6C8F21" w14:textId="77777777" w:rsidR="00E1423F" w:rsidRDefault="00E1423F" w:rsidP="00E576E9"/>
    <w:tbl>
      <w:tblPr>
        <w:tblW w:w="9213" w:type="dxa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dashSmallGap" w:sz="4" w:space="0" w:color="000000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7871"/>
        <w:gridCol w:w="411"/>
        <w:gridCol w:w="404"/>
        <w:gridCol w:w="527"/>
      </w:tblGrid>
      <w:tr w:rsidR="00E576E9" w14:paraId="53E6D278" w14:textId="77777777" w:rsidTr="00A53043">
        <w:trPr>
          <w:cantSplit/>
        </w:trPr>
        <w:tc>
          <w:tcPr>
            <w:tcW w:w="787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EBBAB45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</w:pPr>
            <w:r>
              <w:rPr>
                <w:u w:val="single"/>
              </w:rPr>
              <w:t>Technical Capacity-building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A65E72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1EFDD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DBD0D1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</w:tr>
      <w:tr w:rsidR="00E576E9" w14:paraId="7F3102A2" w14:textId="77777777" w:rsidTr="00A53043">
        <w:trPr>
          <w:cantSplit/>
        </w:trPr>
        <w:tc>
          <w:tcPr>
            <w:tcW w:w="9213" w:type="dxa"/>
            <w:gridSpan w:val="4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592518B0" w14:textId="77777777" w:rsidR="00E576E9" w:rsidRDefault="00E576E9" w:rsidP="00A530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 w:hanging="447"/>
              <w:textAlignment w:val="baseline"/>
            </w:pPr>
            <w:r>
              <w:t>11</w:t>
            </w:r>
            <w:r>
              <w:tab/>
              <w:t>Would capacity-building (e.g. technical workshops) in one or more of the following areas be helpful in supporting your adoption of the Import MRL-setting approaches suggested in the Guideline.</w:t>
            </w:r>
          </w:p>
        </w:tc>
      </w:tr>
      <w:tr w:rsidR="00E576E9" w14:paraId="10A90C64" w14:textId="77777777" w:rsidTr="00A53043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63EF3DF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a)</w:t>
            </w:r>
            <w:r>
              <w:tab/>
              <w:t>establishing Health Based Guidance Values (e.g. ADI, ARfD)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81E5E99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01FC9FC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E947714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58DC7AA3" w14:textId="77777777" w:rsidTr="00A53043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04D0ECD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b)</w:t>
            </w:r>
            <w:r>
              <w:tab/>
              <w:t>deciding on residue definitions (for MRL-compliance and dietary intake assessment)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73DAA55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BC733E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F9DEEBC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27715B48" w14:textId="77777777" w:rsidTr="00A53043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D599EFA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d)</w:t>
            </w:r>
            <w:r>
              <w:tab/>
              <w:t>assessing residue data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234958B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659BC3B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B96E8E5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42AF59F1" w14:textId="77777777" w:rsidTr="00A53043">
        <w:trPr>
          <w:cantSplit/>
        </w:trPr>
        <w:tc>
          <w:tcPr>
            <w:tcW w:w="787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C79493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  <w:r>
              <w:tab/>
              <w:t>e)</w:t>
            </w:r>
            <w:r>
              <w:tab/>
              <w:t>estimating dietary intake risks</w:t>
            </w:r>
          </w:p>
        </w:tc>
        <w:tc>
          <w:tcPr>
            <w:tcW w:w="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D9BA6D0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4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75B6A7A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  <w:tc>
          <w:tcPr>
            <w:tcW w:w="5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910C055" w14:textId="77777777" w:rsidR="00E576E9" w:rsidRDefault="00E576E9" w:rsidP="00A53043">
            <w:pPr>
              <w:tabs>
                <w:tab w:val="left" w:pos="69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265"/>
              <w:textAlignment w:val="baseline"/>
            </w:pPr>
          </w:p>
        </w:tc>
      </w:tr>
      <w:tr w:rsidR="00E576E9" w14:paraId="46D325EA" w14:textId="77777777" w:rsidTr="00A53043">
        <w:trPr>
          <w:cantSplit/>
        </w:trPr>
        <w:tc>
          <w:tcPr>
            <w:tcW w:w="9213" w:type="dxa"/>
            <w:gridSpan w:val="4"/>
            <w:tcBorders>
              <w:top w:val="dotted" w:sz="4" w:space="0" w:color="000000"/>
              <w:bottom w:val="single" w:sz="6" w:space="0" w:color="000000"/>
            </w:tcBorders>
            <w:shd w:val="clear" w:color="auto" w:fill="auto"/>
          </w:tcPr>
          <w:p w14:paraId="5C1A3CF4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  <w:r>
              <w:t>Comments:</w:t>
            </w:r>
          </w:p>
          <w:p w14:paraId="75A144A3" w14:textId="77777777" w:rsidR="00E576E9" w:rsidRDefault="00E576E9" w:rsidP="00A53043">
            <w:pPr>
              <w:tabs>
                <w:tab w:val="left" w:pos="83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23" w:hanging="1123"/>
              <w:textAlignment w:val="baseline"/>
            </w:pPr>
          </w:p>
        </w:tc>
      </w:tr>
    </w:tbl>
    <w:p w14:paraId="2D624FDC" w14:textId="77777777" w:rsidR="00EE7468" w:rsidRPr="00072E73" w:rsidRDefault="00EE7468" w:rsidP="00E576E9"/>
    <w:sectPr w:rsidR="00EE7468" w:rsidRPr="00072E73" w:rsidSect="00072E7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4D80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0BAE7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E542B73"/>
    <w:multiLevelType w:val="hybridMultilevel"/>
    <w:tmpl w:val="25F2290C"/>
    <w:lvl w:ilvl="0" w:tplc="1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197818373">
    <w:abstractNumId w:val="1"/>
  </w:num>
  <w:num w:numId="2" w16cid:durableId="39280763">
    <w:abstractNumId w:val="1"/>
  </w:num>
  <w:num w:numId="3" w16cid:durableId="652442074">
    <w:abstractNumId w:val="0"/>
  </w:num>
  <w:num w:numId="4" w16cid:durableId="15159887">
    <w:abstractNumId w:val="0"/>
  </w:num>
  <w:num w:numId="5" w16cid:durableId="1983532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9AD"/>
    <w:rsid w:val="00072E73"/>
    <w:rsid w:val="001A36AC"/>
    <w:rsid w:val="001E7EA9"/>
    <w:rsid w:val="002B684A"/>
    <w:rsid w:val="003159AD"/>
    <w:rsid w:val="004A67B3"/>
    <w:rsid w:val="004B1519"/>
    <w:rsid w:val="00590CD7"/>
    <w:rsid w:val="006C011F"/>
    <w:rsid w:val="006F318A"/>
    <w:rsid w:val="007C1415"/>
    <w:rsid w:val="0086632B"/>
    <w:rsid w:val="00952129"/>
    <w:rsid w:val="009E663C"/>
    <w:rsid w:val="009F43C0"/>
    <w:rsid w:val="00A53043"/>
    <w:rsid w:val="00CC5204"/>
    <w:rsid w:val="00CD157B"/>
    <w:rsid w:val="00D354CB"/>
    <w:rsid w:val="00E00463"/>
    <w:rsid w:val="00E051CE"/>
    <w:rsid w:val="00E1423F"/>
    <w:rsid w:val="00E21554"/>
    <w:rsid w:val="00E40323"/>
    <w:rsid w:val="00E55E96"/>
    <w:rsid w:val="00E576E9"/>
    <w:rsid w:val="00EB1E29"/>
    <w:rsid w:val="00ED59CD"/>
    <w:rsid w:val="00EE7468"/>
    <w:rsid w:val="00F8476E"/>
    <w:rsid w:val="00FB00A3"/>
    <w:rsid w:val="00FC0B32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D337B9"/>
  <w15:chartTrackingRefBased/>
  <w15:docId w15:val="{21F07EE4-9B67-4938-9F7B-A9E8CF21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57B"/>
    <w:pPr>
      <w:spacing w:after="200" w:line="276" w:lineRule="auto"/>
    </w:pPr>
    <w:rPr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57B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57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57B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57B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D157B"/>
  </w:style>
  <w:style w:type="character" w:customStyle="1" w:styleId="Heading1Char">
    <w:name w:val="Heading 1 Char"/>
    <w:link w:val="Heading1"/>
    <w:uiPriority w:val="9"/>
    <w:rsid w:val="00CD157B"/>
    <w:rPr>
      <w:rFonts w:ascii="Calibri Light" w:eastAsia="Times New Roman" w:hAnsi="Calibri Light" w:cs="Times New Roman"/>
      <w:b/>
      <w:bCs/>
      <w:color w:val="2E74B5"/>
      <w:sz w:val="28"/>
      <w:szCs w:val="28"/>
      <w:lang w:eastAsia="en-NZ"/>
    </w:rPr>
  </w:style>
  <w:style w:type="paragraph" w:styleId="Title">
    <w:name w:val="Title"/>
    <w:basedOn w:val="Normal"/>
    <w:next w:val="Normal"/>
    <w:link w:val="TitleChar"/>
    <w:uiPriority w:val="10"/>
    <w:qFormat/>
    <w:rsid w:val="00CD157B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D157B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en-NZ"/>
    </w:rPr>
  </w:style>
  <w:style w:type="table" w:customStyle="1" w:styleId="FAOResiduetable9">
    <w:name w:val="FAO Residue table 9"/>
    <w:basedOn w:val="TableElegant"/>
    <w:rsid w:val="009E663C"/>
    <w:pPr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  <w:lang w:eastAsia="en-NZ"/>
    </w:rPr>
    <w:tblPr>
      <w:tblCellMar>
        <w:top w:w="11" w:type="dxa"/>
        <w:left w:w="11" w:type="dxa"/>
        <w:bottom w:w="11" w:type="dxa"/>
        <w:right w:w="11" w:type="dxa"/>
      </w:tblCellMar>
    </w:tblPr>
    <w:trPr>
      <w:cantSplit/>
    </w:trPr>
    <w:tcPr>
      <w:shd w:val="clear" w:color="auto" w:fill="auto"/>
    </w:tcPr>
    <w:tblStylePr w:type="firstRow">
      <w:rPr>
        <w:caps w:val="0"/>
        <w:smallCaps w:val="0"/>
        <w:strike w:val="0"/>
        <w:dstrike w:val="0"/>
        <w:vanish w:val="0"/>
        <w:color w:val="auto"/>
        <w:vertAlign w:val="baselin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ordWrap/>
        <w:jc w:val="left"/>
      </w:pPr>
    </w:tblStylePr>
    <w:tblStylePr w:type="lastCol">
      <w:pPr>
        <w:wordWrap/>
        <w:jc w:val="left"/>
      </w:pPr>
    </w:tblStylePr>
  </w:style>
  <w:style w:type="table" w:styleId="TableElegant">
    <w:name w:val="Table Elegant"/>
    <w:basedOn w:val="TableNormal"/>
    <w:uiPriority w:val="99"/>
    <w:semiHidden/>
    <w:unhideWhenUsed/>
    <w:rsid w:val="00E2155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AOpara1">
    <w:name w:val="FAOpara1"/>
    <w:link w:val="FAOpara1Char"/>
    <w:qFormat/>
    <w:rsid w:val="00590CD7"/>
    <w:pPr>
      <w:spacing w:after="240"/>
    </w:pPr>
    <w:rPr>
      <w:sz w:val="22"/>
      <w:szCs w:val="22"/>
      <w:lang w:val="en-AU"/>
    </w:rPr>
  </w:style>
  <w:style w:type="character" w:customStyle="1" w:styleId="FAOpara1Char">
    <w:name w:val="FAOpara1 Char"/>
    <w:link w:val="FAOpara1"/>
    <w:rsid w:val="00590CD7"/>
    <w:rPr>
      <w:lang w:val="en-AU"/>
    </w:rPr>
  </w:style>
  <w:style w:type="paragraph" w:customStyle="1" w:styleId="Default">
    <w:name w:val="Default"/>
    <w:rsid w:val="001E7E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s1">
    <w:name w:val="Bullets 1"/>
    <w:basedOn w:val="BodyText"/>
    <w:rsid w:val="001E7EA9"/>
    <w:pPr>
      <w:ind w:left="284"/>
    </w:pPr>
  </w:style>
  <w:style w:type="paragraph" w:styleId="BodyText">
    <w:name w:val="Body Text"/>
    <w:basedOn w:val="Normal"/>
    <w:link w:val="BodyTextChar"/>
    <w:uiPriority w:val="99"/>
    <w:semiHidden/>
    <w:unhideWhenUsed/>
    <w:rsid w:val="00CD157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D157B"/>
    <w:rPr>
      <w:rFonts w:ascii="Calibri" w:eastAsia="Calibri" w:hAnsi="Calibri"/>
      <w:sz w:val="22"/>
      <w:szCs w:val="22"/>
      <w:lang w:eastAsia="en-NZ"/>
    </w:rPr>
  </w:style>
  <w:style w:type="paragraph" w:customStyle="1" w:styleId="TableText">
    <w:name w:val="Table Text"/>
    <w:basedOn w:val="BodyText"/>
    <w:rsid w:val="001E7EA9"/>
    <w:pPr>
      <w:spacing w:after="60" w:line="240" w:lineRule="auto"/>
    </w:pPr>
  </w:style>
  <w:style w:type="paragraph" w:customStyle="1" w:styleId="Tablefootnote">
    <w:name w:val="Table footnote"/>
    <w:basedOn w:val="BodyText"/>
    <w:rsid w:val="001E7EA9"/>
    <w:pPr>
      <w:spacing w:after="0"/>
    </w:pPr>
    <w:rPr>
      <w:sz w:val="16"/>
    </w:rPr>
  </w:style>
  <w:style w:type="paragraph" w:customStyle="1" w:styleId="BodytextItalics">
    <w:name w:val="Body text Italics"/>
    <w:basedOn w:val="BodyText"/>
    <w:next w:val="BodyText"/>
    <w:link w:val="BodytextItalicsChar"/>
    <w:rsid w:val="001E7EA9"/>
    <w:rPr>
      <w:i/>
    </w:rPr>
  </w:style>
  <w:style w:type="character" w:customStyle="1" w:styleId="BodytextItalicsChar">
    <w:name w:val="Body text Italics Char"/>
    <w:link w:val="BodytextItalics"/>
    <w:rsid w:val="001E7EA9"/>
    <w:rPr>
      <w:rFonts w:ascii="Arial" w:hAnsi="Arial" w:cs="Times New Roman"/>
      <w:i/>
      <w:snapToGrid w:val="0"/>
      <w:sz w:val="20"/>
      <w:szCs w:val="20"/>
      <w:lang w:val="en-GB"/>
    </w:rPr>
  </w:style>
  <w:style w:type="paragraph" w:customStyle="1" w:styleId="TableText9pt">
    <w:name w:val="Table Text 9pt"/>
    <w:basedOn w:val="TableText"/>
    <w:rsid w:val="001E7EA9"/>
    <w:rPr>
      <w:sz w:val="18"/>
    </w:rPr>
  </w:style>
  <w:style w:type="paragraph" w:customStyle="1" w:styleId="TableTextBold">
    <w:name w:val="Table Text Bold"/>
    <w:basedOn w:val="TableText"/>
    <w:rsid w:val="001E7EA9"/>
    <w:rPr>
      <w:b/>
    </w:rPr>
  </w:style>
  <w:style w:type="paragraph" w:customStyle="1" w:styleId="Tablefootnote10pt">
    <w:name w:val="Table footnote 10pt"/>
    <w:basedOn w:val="Tablefootnote"/>
    <w:rsid w:val="001E7EA9"/>
    <w:rPr>
      <w:sz w:val="20"/>
    </w:rPr>
  </w:style>
  <w:style w:type="paragraph" w:customStyle="1" w:styleId="StyleTopSinglesolidlineAuto05ptLinewidth">
    <w:name w:val="Style Top: (Single solid line Auto  0.5 pt Line width)"/>
    <w:basedOn w:val="BodyText"/>
    <w:rsid w:val="001E7EA9"/>
    <w:pPr>
      <w:pBdr>
        <w:top w:val="single" w:sz="4" w:space="1" w:color="auto"/>
      </w:pBdr>
    </w:pPr>
  </w:style>
  <w:style w:type="character" w:customStyle="1" w:styleId="Heading2Char">
    <w:name w:val="Heading 2 Char"/>
    <w:link w:val="Heading2"/>
    <w:uiPriority w:val="9"/>
    <w:rsid w:val="00CD157B"/>
    <w:rPr>
      <w:rFonts w:ascii="Calibri Light" w:eastAsia="Times New Roman" w:hAnsi="Calibri Light" w:cs="Times New Roman"/>
      <w:b/>
      <w:bCs/>
      <w:color w:val="5B9BD5"/>
      <w:sz w:val="26"/>
      <w:szCs w:val="26"/>
      <w:lang w:eastAsia="en-NZ"/>
    </w:rPr>
  </w:style>
  <w:style w:type="character" w:customStyle="1" w:styleId="Heading3Char">
    <w:name w:val="Heading 3 Char"/>
    <w:link w:val="Heading3"/>
    <w:uiPriority w:val="9"/>
    <w:rsid w:val="00CD157B"/>
    <w:rPr>
      <w:rFonts w:ascii="Calibri Light" w:eastAsia="Times New Roman" w:hAnsi="Calibri Light" w:cs="Times New Roman"/>
      <w:b/>
      <w:bCs/>
      <w:color w:val="5B9BD5"/>
      <w:sz w:val="22"/>
      <w:szCs w:val="22"/>
      <w:lang w:eastAsia="en-NZ"/>
    </w:rPr>
  </w:style>
  <w:style w:type="character" w:customStyle="1" w:styleId="Heading6Char">
    <w:name w:val="Heading 6 Char"/>
    <w:link w:val="Heading6"/>
    <w:uiPriority w:val="9"/>
    <w:semiHidden/>
    <w:rsid w:val="00CD157B"/>
    <w:rPr>
      <w:rFonts w:ascii="Calibri Light" w:eastAsia="Times New Roman" w:hAnsi="Calibri Light" w:cs="Times New Roman"/>
      <w:color w:val="1F4D78"/>
      <w:sz w:val="22"/>
      <w:szCs w:val="22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CD15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D157B"/>
    <w:rPr>
      <w:rFonts w:ascii="Calibri" w:eastAsia="Calibri" w:hAnsi="Calibri"/>
      <w:sz w:val="22"/>
      <w:szCs w:val="22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CD15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157B"/>
    <w:rPr>
      <w:rFonts w:ascii="Calibri" w:eastAsia="Calibri" w:hAnsi="Calibri"/>
      <w:sz w:val="22"/>
      <w:szCs w:val="22"/>
      <w:lang w:eastAsia="en-NZ"/>
    </w:rPr>
  </w:style>
  <w:style w:type="character" w:styleId="FootnoteReference">
    <w:name w:val="footnote reference"/>
    <w:uiPriority w:val="99"/>
    <w:semiHidden/>
    <w:unhideWhenUsed/>
    <w:rsid w:val="00CD157B"/>
    <w:rPr>
      <w:vertAlign w:val="superscript"/>
    </w:rPr>
  </w:style>
  <w:style w:type="paragraph" w:styleId="ListBullet">
    <w:name w:val="List Bullet"/>
    <w:basedOn w:val="BodyText"/>
    <w:uiPriority w:val="99"/>
    <w:semiHidden/>
    <w:unhideWhenUsed/>
    <w:rsid w:val="00CD157B"/>
    <w:pPr>
      <w:numPr>
        <w:numId w:val="1"/>
      </w:numPr>
      <w:contextualSpacing/>
    </w:pPr>
  </w:style>
  <w:style w:type="paragraph" w:styleId="ListNumber">
    <w:name w:val="List Number"/>
    <w:basedOn w:val="BodyText"/>
    <w:uiPriority w:val="99"/>
    <w:semiHidden/>
    <w:unhideWhenUsed/>
    <w:rsid w:val="00CD157B"/>
    <w:pPr>
      <w:tabs>
        <w:tab w:val="num" w:pos="360"/>
      </w:tabs>
      <w:ind w:left="360" w:hanging="36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D157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D157B"/>
    <w:rPr>
      <w:rFonts w:ascii="Segoe UI" w:eastAsia="Calibri" w:hAnsi="Segoe UI" w:cs="Segoe UI"/>
      <w:sz w:val="16"/>
      <w:szCs w:val="16"/>
      <w:lang w:eastAsia="en-NZ"/>
    </w:rPr>
  </w:style>
  <w:style w:type="paragraph" w:styleId="BalloonText">
    <w:name w:val="Balloon Text"/>
    <w:basedOn w:val="Normal"/>
    <w:link w:val="BalloonTextChar"/>
    <w:uiPriority w:val="99"/>
    <w:unhideWhenUsed/>
    <w:rsid w:val="00CD1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D157B"/>
    <w:rPr>
      <w:rFonts w:ascii="Tahoma" w:eastAsia="Calibri" w:hAnsi="Tahoma" w:cs="Tahoma"/>
      <w:sz w:val="16"/>
      <w:szCs w:val="16"/>
      <w:lang w:eastAsia="en-NZ"/>
    </w:rPr>
  </w:style>
  <w:style w:type="table" w:styleId="TableGrid">
    <w:name w:val="Table Grid"/>
    <w:basedOn w:val="TableNormal"/>
    <w:uiPriority w:val="59"/>
    <w:rsid w:val="00CD157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Oparatext">
    <w:name w:val="FAO para text"/>
    <w:basedOn w:val="Normal"/>
    <w:link w:val="FAOparatextChar"/>
    <w:qFormat/>
    <w:rsid w:val="006F318A"/>
    <w:pPr>
      <w:spacing w:before="240" w:line="240" w:lineRule="auto"/>
      <w:jc w:val="both"/>
    </w:pPr>
    <w:rPr>
      <w:rFonts w:eastAsia="MS Mincho"/>
      <w:noProof/>
      <w:lang w:val="en-US"/>
    </w:rPr>
  </w:style>
  <w:style w:type="character" w:customStyle="1" w:styleId="FAOparatextChar">
    <w:name w:val="FAO para text Char"/>
    <w:link w:val="FAOparatext"/>
    <w:rsid w:val="006F318A"/>
    <w:rPr>
      <w:rFonts w:eastAsia="MS Mincho"/>
      <w:noProof/>
      <w:sz w:val="22"/>
      <w:lang w:val="en-US"/>
    </w:rPr>
  </w:style>
  <w:style w:type="paragraph" w:customStyle="1" w:styleId="FAOPara">
    <w:name w:val="FAO Para"/>
    <w:basedOn w:val="Normal"/>
    <w:link w:val="FAOParaChar"/>
    <w:qFormat/>
    <w:rsid w:val="00ED59CD"/>
    <w:pPr>
      <w:spacing w:before="240" w:line="240" w:lineRule="auto"/>
      <w:jc w:val="both"/>
    </w:pPr>
    <w:rPr>
      <w:rFonts w:eastAsia="MS Mincho"/>
      <w:noProof/>
      <w:lang w:val="en-US"/>
    </w:rPr>
  </w:style>
  <w:style w:type="character" w:customStyle="1" w:styleId="FAOParaChar">
    <w:name w:val="FAO Para Char"/>
    <w:link w:val="FAOPara"/>
    <w:rsid w:val="00ED59CD"/>
    <w:rPr>
      <w:rFonts w:eastAsia="MS Mincho"/>
      <w:noProof/>
      <w:sz w:val="22"/>
      <w:lang w:val="en-US"/>
    </w:rPr>
  </w:style>
  <w:style w:type="paragraph" w:customStyle="1" w:styleId="TravRepBox">
    <w:name w:val="TravRepBox"/>
    <w:basedOn w:val="Normal"/>
    <w:link w:val="TravRepBoxChar"/>
    <w:qFormat/>
    <w:rsid w:val="00CD157B"/>
    <w:rPr>
      <w:rFonts w:ascii="Arial" w:hAnsi="Arial" w:cs="Arial"/>
    </w:rPr>
  </w:style>
  <w:style w:type="character" w:customStyle="1" w:styleId="TravRepBoxChar">
    <w:name w:val="TravRepBox Char"/>
    <w:link w:val="TravRepBox"/>
    <w:rsid w:val="00CD157B"/>
    <w:rPr>
      <w:rFonts w:ascii="Arial" w:eastAsia="Calibri" w:hAnsi="Arial" w:cs="Arial"/>
      <w:sz w:val="22"/>
      <w:szCs w:val="22"/>
      <w:lang w:eastAsia="en-NZ"/>
    </w:rPr>
  </w:style>
  <w:style w:type="paragraph" w:customStyle="1" w:styleId="TravRepText">
    <w:name w:val="TravRep Text"/>
    <w:basedOn w:val="Normal"/>
    <w:link w:val="TravRepTextChar"/>
    <w:qFormat/>
    <w:rsid w:val="00CD157B"/>
    <w:rPr>
      <w:rFonts w:ascii="Arial" w:hAnsi="Arial" w:cs="Arial"/>
      <w:sz w:val="24"/>
      <w:szCs w:val="24"/>
    </w:rPr>
  </w:style>
  <w:style w:type="character" w:customStyle="1" w:styleId="TravRepTextChar">
    <w:name w:val="TravRep Text Char"/>
    <w:link w:val="TravRepText"/>
    <w:rsid w:val="00CD157B"/>
    <w:rPr>
      <w:rFonts w:ascii="Arial" w:eastAsia="Calibri" w:hAnsi="Arial" w:cs="Arial"/>
      <w:sz w:val="24"/>
      <w:szCs w:val="24"/>
      <w:lang w:eastAsia="en-NZ"/>
    </w:rPr>
  </w:style>
  <w:style w:type="paragraph" w:styleId="CommentText">
    <w:name w:val="annotation text"/>
    <w:basedOn w:val="Normal"/>
    <w:link w:val="CommentTextChar"/>
    <w:uiPriority w:val="99"/>
    <w:unhideWhenUsed/>
    <w:rsid w:val="00CD157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D157B"/>
    <w:rPr>
      <w:rFonts w:ascii="Calibri" w:eastAsia="Calibri" w:hAnsi="Calibri"/>
      <w:lang w:eastAsia="en-NZ"/>
    </w:rPr>
  </w:style>
  <w:style w:type="character" w:styleId="CommentReference">
    <w:name w:val="annotation reference"/>
    <w:uiPriority w:val="99"/>
    <w:unhideWhenUsed/>
    <w:rsid w:val="00CD157B"/>
    <w:rPr>
      <w:sz w:val="16"/>
      <w:szCs w:val="16"/>
    </w:rPr>
  </w:style>
  <w:style w:type="character" w:styleId="Hyperlink">
    <w:name w:val="Hyperlink"/>
    <w:uiPriority w:val="99"/>
    <w:unhideWhenUsed/>
    <w:rsid w:val="00CD157B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D157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CD157B"/>
    <w:rPr>
      <w:rFonts w:ascii="Calibri" w:eastAsia="Calibri" w:hAnsi="Calibri"/>
      <w:b/>
      <w:bCs/>
      <w:lang w:eastAsia="en-NZ"/>
    </w:rPr>
  </w:style>
  <w:style w:type="paragraph" w:customStyle="1" w:styleId="DASText">
    <w:name w:val="DAS Text"/>
    <w:basedOn w:val="Normal"/>
    <w:link w:val="DASTextChar"/>
    <w:qFormat/>
    <w:rsid w:val="0086632B"/>
    <w:pPr>
      <w:widowControl w:val="0"/>
      <w:spacing w:after="120" w:line="360" w:lineRule="auto"/>
    </w:pPr>
    <w:rPr>
      <w:rFonts w:ascii="Arial" w:hAnsi="Arial"/>
      <w:snapToGrid w:val="0"/>
      <w:lang w:val="en-GB"/>
    </w:rPr>
  </w:style>
  <w:style w:type="character" w:customStyle="1" w:styleId="DASTextChar">
    <w:name w:val="DAS Text Char"/>
    <w:link w:val="DASText"/>
    <w:rsid w:val="0086632B"/>
    <w:rPr>
      <w:rFonts w:ascii="Arial" w:hAnsi="Arial"/>
      <w:snapToGrid w:val="0"/>
      <w:lang w:val="en-GB"/>
    </w:rPr>
  </w:style>
  <w:style w:type="table" w:customStyle="1" w:styleId="Tabletext0">
    <w:name w:val="Table text"/>
    <w:basedOn w:val="TableNormal"/>
    <w:rsid w:val="009E663C"/>
    <w:rPr>
      <w:rFonts w:ascii="Times New Roman" w:hAnsi="Times New Roman"/>
      <w:lang w:eastAsia="en-NZ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ave.Lunn@mpi.govt.n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Tony@wfa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 Document" ma:contentTypeID="0x01010004C4C934AD08B647A78FCADD498BE319004FB11942EFC38D46A62CB24F80C47412" ma:contentTypeVersion="34" ma:contentTypeDescription="Food Standards Document." ma:contentTypeScope="" ma:versionID="df2e37749dd81b18034077d2d46cd5a3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c98198b4bb04cc2a7e03db3f60370949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Props1.xml><?xml version="1.0" encoding="utf-8"?>
<ds:datastoreItem xmlns:ds="http://schemas.openxmlformats.org/officeDocument/2006/customXml" ds:itemID="{70AAD878-87CD-4048-BA5B-3481A5AF3F9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A1341A-FC70-4DE4-8863-FD3076B88A0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2CAFF29-C143-43AC-AFB1-CCF0BE17DA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C69397-DAD8-4FB2-B833-70BB96F0E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313EA2-5A44-4B78-97E9-8B3ECF70BAD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0F67620-5524-4116-8E22-B9711844F097}">
  <ds:schemaRefs>
    <ds:schemaRef ds:uri="http://schemas.microsoft.com/office/2006/metadata/properties"/>
    <ds:schemaRef ds:uri="http://schemas.microsoft.com/office/infopath/2007/PartnerControls"/>
    <ds:schemaRef ds:uri="ec50576e-4a27-4780-a1e1-e59563bc70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7795</CharactersWithSpaces>
  <SharedDoc>false</SharedDoc>
  <HLinks>
    <vt:vector size="12" baseType="variant">
      <vt:variant>
        <vt:i4>262183</vt:i4>
      </vt:variant>
      <vt:variant>
        <vt:i4>6</vt:i4>
      </vt:variant>
      <vt:variant>
        <vt:i4>0</vt:i4>
      </vt:variant>
      <vt:variant>
        <vt:i4>5</vt:i4>
      </vt:variant>
      <vt:variant>
        <vt:lpwstr>mailto:Dave.Lunn@mpi.govt.nz</vt:lpwstr>
      </vt:variant>
      <vt:variant>
        <vt:lpwstr/>
      </vt:variant>
      <vt:variant>
        <vt:i4>5832739</vt:i4>
      </vt:variant>
      <vt:variant>
        <vt:i4>3</vt:i4>
      </vt:variant>
      <vt:variant>
        <vt:i4>0</vt:i4>
      </vt:variant>
      <vt:variant>
        <vt:i4>5</vt:i4>
      </vt:variant>
      <vt:variant>
        <vt:lpwstr>mailto:Tony@wfa.org.au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Lunn</dc:creator>
  <cp:keywords/>
  <cp:lastModifiedBy>Shin C. Kao</cp:lastModifiedBy>
  <cp:revision>2</cp:revision>
  <cp:lastPrinted>2016-08-04T18:36:00Z</cp:lastPrinted>
  <dcterms:created xsi:type="dcterms:W3CDTF">2024-10-23T18:18:00Z</dcterms:created>
  <dcterms:modified xsi:type="dcterms:W3CDTF">2024-10-23T18:18:00Z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0x01010004C4C934AD08B647A78FCADD498BE319004FB11942EFC38D46A62CB24F80C47412</vt:lpwstr>
  </property>
  <property fmtid="{D5CDD505-2E9C-101B-9397-08002B2CF9AE}" pid="3" name="BCS_">
    <vt:lpwstr/>
  </property>
  <property fmtid="{D5CDD505-2E9C-101B-9397-08002B2CF9AE}" pid="4" name="_dlc_DocId">
    <vt:lpwstr>X3VAMR3A5FUY-503-75948</vt:lpwstr>
  </property>
  <property fmtid="{D5CDD505-2E9C-101B-9397-08002B2CF9AE}" pid="5" name="_dlc_DocIdItemGuid">
    <vt:lpwstr>e9befdb7-fa45-4122-bf08-f14cc81ce3b8</vt:lpwstr>
  </property>
  <property fmtid="{D5CDD505-2E9C-101B-9397-08002B2CF9AE}" pid="6" name="_dlc_DocIdUrl">
    <vt:lpwstr>http://teams/Sections/SSIS/_layouts/15/DocIdRedir.aspx?ID=X3VAMR3A5FUY-503-75948, X3VAMR3A5FUY-503-75948</vt:lpwstr>
  </property>
</Properties>
</file>