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14" w:rsidRDefault="00D00014" w:rsidP="00D00014">
      <w:pPr>
        <w:jc w:val="center"/>
      </w:pPr>
      <w:r>
        <w:rPr>
          <w:noProof/>
          <w:lang w:val="en-US"/>
        </w:rPr>
        <w:drawing>
          <wp:inline distT="0" distB="0" distL="0" distR="0" wp14:anchorId="7BA9C470" wp14:editId="3AE2000A">
            <wp:extent cx="3871595" cy="1083310"/>
            <wp:effectExtent l="0" t="0" r="0" b="2540"/>
            <wp:docPr id="3" name="Picture 1" descr="C:\Users\Ferman PC Take 2\AppData\Local\Temp\APEC_Wine_Regulatory_Forum_Logo-2014a-1.jpg"/>
            <wp:cNvGraphicFramePr/>
            <a:graphic xmlns:a="http://schemas.openxmlformats.org/drawingml/2006/main">
              <a:graphicData uri="http://schemas.openxmlformats.org/drawingml/2006/picture">
                <pic:pic xmlns:pic="http://schemas.openxmlformats.org/drawingml/2006/picture">
                  <pic:nvPicPr>
                    <pic:cNvPr id="3" name="Picture 1" descr="C:\Users\Ferman PC Take 2\AppData\Local\Temp\APEC_Wine_Regulatory_Forum_Logo-2014a-1.jpg"/>
                    <pic:cNvPicPr/>
                  </pic:nvPicPr>
                  <pic:blipFill>
                    <a:blip r:embed="rId9"/>
                    <a:srcRect/>
                    <a:stretch>
                      <a:fillRect/>
                    </a:stretch>
                  </pic:blipFill>
                  <pic:spPr bwMode="auto">
                    <a:xfrm>
                      <a:off x="0" y="0"/>
                      <a:ext cx="3871595" cy="1083310"/>
                    </a:xfrm>
                    <a:prstGeom prst="rect">
                      <a:avLst/>
                    </a:prstGeom>
                    <a:noFill/>
                    <a:ln w="9525">
                      <a:noFill/>
                      <a:miter lim="800000"/>
                      <a:headEnd/>
                      <a:tailEnd/>
                    </a:ln>
                  </pic:spPr>
                </pic:pic>
              </a:graphicData>
            </a:graphic>
          </wp:inline>
        </w:drawing>
      </w:r>
    </w:p>
    <w:p w:rsidR="00D00014" w:rsidRDefault="00D00014" w:rsidP="00D00014">
      <w:pPr>
        <w:pBdr>
          <w:bottom w:val="single" w:sz="12" w:space="1" w:color="auto"/>
        </w:pBdr>
        <w:jc w:val="center"/>
      </w:pPr>
    </w:p>
    <w:p w:rsidR="00D00014" w:rsidRDefault="00D00014" w:rsidP="00D00014">
      <w:pPr>
        <w:jc w:val="right"/>
      </w:pPr>
      <w:r>
        <w:t>Session 3</w:t>
      </w:r>
    </w:p>
    <w:p w:rsidR="00D00014" w:rsidRDefault="00D00014" w:rsidP="00D00014">
      <w:pPr>
        <w:jc w:val="center"/>
      </w:pPr>
      <w:r>
        <w:t>PAPER FOR DISCUSSION:</w:t>
      </w:r>
    </w:p>
    <w:p w:rsidR="00D00014" w:rsidRDefault="00D00014" w:rsidP="00D00014">
      <w:pPr>
        <w:jc w:val="center"/>
      </w:pPr>
    </w:p>
    <w:p w:rsidR="00D00014" w:rsidRDefault="00D00014" w:rsidP="00D00014">
      <w:pPr>
        <w:jc w:val="center"/>
      </w:pPr>
    </w:p>
    <w:p w:rsidR="00D00014" w:rsidRDefault="00D00014" w:rsidP="00D00014">
      <w:pPr>
        <w:jc w:val="center"/>
      </w:pPr>
      <w:r w:rsidRPr="00D00014">
        <w:t>The APEC Food Safety Cooperation Forum Action Plan</w:t>
      </w: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D00014" w:rsidRDefault="00D00014" w:rsidP="00D00014">
      <w:pPr>
        <w:jc w:val="center"/>
      </w:pPr>
    </w:p>
    <w:p w:rsidR="001164D6" w:rsidRDefault="001164D6" w:rsidP="00D00014">
      <w:pPr>
        <w:jc w:val="center"/>
      </w:pPr>
    </w:p>
    <w:p w:rsidR="001164D6" w:rsidRDefault="001164D6" w:rsidP="00D00014">
      <w:pPr>
        <w:jc w:val="center"/>
      </w:pPr>
    </w:p>
    <w:p w:rsidR="001164D6" w:rsidRDefault="001164D6" w:rsidP="00D00014">
      <w:pPr>
        <w:jc w:val="center"/>
      </w:pPr>
    </w:p>
    <w:p w:rsidR="001164D6" w:rsidRDefault="001164D6" w:rsidP="00D00014">
      <w:pPr>
        <w:jc w:val="center"/>
      </w:pPr>
      <w:bookmarkStart w:id="0" w:name="_GoBack"/>
      <w:bookmarkEnd w:id="0"/>
    </w:p>
    <w:p w:rsidR="00D00014" w:rsidRDefault="00D00014" w:rsidP="00D00014">
      <w:pPr>
        <w:jc w:val="center"/>
      </w:pPr>
    </w:p>
    <w:p w:rsidR="00D00014" w:rsidRDefault="00D00014" w:rsidP="00D00014">
      <w:pPr>
        <w:jc w:val="center"/>
      </w:pPr>
    </w:p>
    <w:p w:rsidR="00D00014" w:rsidRDefault="00D00014" w:rsidP="00D00014">
      <w:pPr>
        <w:tabs>
          <w:tab w:val="left" w:pos="6480"/>
        </w:tabs>
        <w:ind w:left="2880"/>
        <w:jc w:val="center"/>
      </w:pPr>
      <w:r>
        <w:t xml:space="preserve">       Wine Regulatory Forum</w:t>
      </w:r>
    </w:p>
    <w:p w:rsidR="00D00014" w:rsidRDefault="00D00014" w:rsidP="00D00014">
      <w:pPr>
        <w:tabs>
          <w:tab w:val="left" w:pos="6480"/>
        </w:tabs>
        <w:ind w:left="5040"/>
      </w:pPr>
      <w:r>
        <w:t>September 11-12, 2014</w:t>
      </w:r>
    </w:p>
    <w:p w:rsidR="00D00014" w:rsidRDefault="00D00014" w:rsidP="00D00014">
      <w:pPr>
        <w:tabs>
          <w:tab w:val="left" w:pos="6480"/>
        </w:tabs>
        <w:ind w:left="5040"/>
        <w:jc w:val="both"/>
      </w:pPr>
      <w:r>
        <w:t>Beijing, China</w:t>
      </w:r>
    </w:p>
    <w:p w:rsidR="00D00014" w:rsidRDefault="00D00014" w:rsidP="007E644D">
      <w:pPr>
        <w:jc w:val="center"/>
        <w:rPr>
          <w:b/>
          <w:sz w:val="28"/>
          <w:szCs w:val="28"/>
        </w:rPr>
      </w:pPr>
      <w:r>
        <w:rPr>
          <w:b/>
          <w:sz w:val="28"/>
          <w:szCs w:val="28"/>
        </w:rPr>
        <w:br w:type="page"/>
      </w:r>
    </w:p>
    <w:p w:rsidR="007E644D" w:rsidRPr="00F2349F" w:rsidRDefault="007E644D" w:rsidP="007E644D">
      <w:pPr>
        <w:jc w:val="center"/>
        <w:rPr>
          <w:rFonts w:cs="Arial"/>
          <w:b/>
          <w:sz w:val="28"/>
          <w:szCs w:val="28"/>
        </w:rPr>
      </w:pPr>
      <w:r w:rsidRPr="00F2349F">
        <w:rPr>
          <w:b/>
          <w:sz w:val="28"/>
          <w:szCs w:val="28"/>
        </w:rPr>
        <w:lastRenderedPageBreak/>
        <w:t xml:space="preserve">The APEC Food Safety Cooperation Forum Action Plan </w:t>
      </w:r>
    </w:p>
    <w:p w:rsidR="007E644D" w:rsidRDefault="007E644D" w:rsidP="007E644D">
      <w:pPr>
        <w:rPr>
          <w:rFonts w:cs="Arial"/>
        </w:rPr>
      </w:pPr>
    </w:p>
    <w:p w:rsidR="007B6B8C" w:rsidRDefault="007B6B8C" w:rsidP="007E644D">
      <w:pPr>
        <w:rPr>
          <w:rFonts w:cs="Arial"/>
          <w:b/>
        </w:rPr>
      </w:pPr>
    </w:p>
    <w:p w:rsidR="007E644D" w:rsidRPr="00F2349F" w:rsidRDefault="007E644D" w:rsidP="007E644D">
      <w:pPr>
        <w:rPr>
          <w:rFonts w:cs="Arial"/>
          <w:b/>
          <w:sz w:val="24"/>
          <w:szCs w:val="24"/>
        </w:rPr>
      </w:pPr>
      <w:r w:rsidRPr="00F2349F">
        <w:rPr>
          <w:rFonts w:cs="Arial"/>
          <w:b/>
          <w:sz w:val="24"/>
          <w:szCs w:val="24"/>
        </w:rPr>
        <w:t>Introduction</w:t>
      </w:r>
    </w:p>
    <w:p w:rsidR="007E644D" w:rsidRPr="001C7A53" w:rsidRDefault="007E644D" w:rsidP="007E644D">
      <w:pPr>
        <w:rPr>
          <w:rFonts w:cs="Arial"/>
        </w:rPr>
      </w:pPr>
    </w:p>
    <w:p w:rsidR="007E644D" w:rsidRDefault="007E644D" w:rsidP="007E644D">
      <w:pPr>
        <w:rPr>
          <w:rFonts w:cs="Arial"/>
        </w:rPr>
      </w:pPr>
      <w:r w:rsidRPr="001C7A53">
        <w:rPr>
          <w:rFonts w:cs="Arial"/>
        </w:rPr>
        <w:t xml:space="preserve">This paper </w:t>
      </w:r>
      <w:r w:rsidR="009003DC">
        <w:rPr>
          <w:rFonts w:cs="Arial"/>
        </w:rPr>
        <w:t xml:space="preserve">aims </w:t>
      </w:r>
      <w:r>
        <w:rPr>
          <w:rFonts w:cs="Arial"/>
        </w:rPr>
        <w:t xml:space="preserve">to update members of the APEC </w:t>
      </w:r>
      <w:r w:rsidR="00FB1349">
        <w:rPr>
          <w:rFonts w:cs="Arial"/>
        </w:rPr>
        <w:t>Food Safety</w:t>
      </w:r>
      <w:r>
        <w:rPr>
          <w:rFonts w:cs="Arial"/>
        </w:rPr>
        <w:t xml:space="preserve"> Cooperation Forum on progress on the APEC MRLs Roadmap Project</w:t>
      </w:r>
      <w:r w:rsidR="009003DC">
        <w:rPr>
          <w:rFonts w:cs="Arial"/>
        </w:rPr>
        <w:t xml:space="preserve"> (MRLs Project)</w:t>
      </w:r>
      <w:r w:rsidR="00F27AF5">
        <w:rPr>
          <w:rFonts w:cs="Arial"/>
        </w:rPr>
        <w:t>,</w:t>
      </w:r>
      <w:r>
        <w:rPr>
          <w:rFonts w:cs="Arial"/>
        </w:rPr>
        <w:t xml:space="preserve"> and to </w:t>
      </w:r>
      <w:r w:rsidR="00A64B71">
        <w:rPr>
          <w:rFonts w:cs="Arial"/>
        </w:rPr>
        <w:t>get</w:t>
      </w:r>
      <w:r>
        <w:rPr>
          <w:rFonts w:cs="Arial"/>
        </w:rPr>
        <w:t xml:space="preserve"> </w:t>
      </w:r>
      <w:r w:rsidR="009003DC">
        <w:rPr>
          <w:rFonts w:cs="Arial"/>
        </w:rPr>
        <w:t>members</w:t>
      </w:r>
      <w:r w:rsidR="00A64B71">
        <w:rPr>
          <w:rFonts w:cs="Arial"/>
        </w:rPr>
        <w:t>’ agreement</w:t>
      </w:r>
      <w:r w:rsidR="009003DC">
        <w:rPr>
          <w:rFonts w:cs="Arial"/>
        </w:rPr>
        <w:t xml:space="preserve"> </w:t>
      </w:r>
      <w:r>
        <w:rPr>
          <w:rFonts w:cs="Arial"/>
        </w:rPr>
        <w:t xml:space="preserve">on </w:t>
      </w:r>
      <w:r w:rsidR="006E6472">
        <w:rPr>
          <w:rFonts w:cs="Arial"/>
        </w:rPr>
        <w:t>further proposed</w:t>
      </w:r>
      <w:r>
        <w:rPr>
          <w:rFonts w:cs="Arial"/>
        </w:rPr>
        <w:t xml:space="preserve"> activities.</w:t>
      </w:r>
    </w:p>
    <w:p w:rsidR="007E644D" w:rsidRDefault="007E644D" w:rsidP="007E644D">
      <w:pPr>
        <w:rPr>
          <w:rFonts w:cs="Arial"/>
        </w:rPr>
      </w:pPr>
    </w:p>
    <w:p w:rsidR="007E644D" w:rsidRPr="001C7A53" w:rsidRDefault="007E644D" w:rsidP="007E644D">
      <w:pPr>
        <w:rPr>
          <w:rFonts w:cs="Arial"/>
        </w:rPr>
      </w:pPr>
      <w:r>
        <w:rPr>
          <w:rFonts w:cs="Arial"/>
        </w:rPr>
        <w:t xml:space="preserve">The MRLs </w:t>
      </w:r>
      <w:r w:rsidR="009003DC">
        <w:rPr>
          <w:rFonts w:cs="Arial"/>
        </w:rPr>
        <w:t>P</w:t>
      </w:r>
      <w:r>
        <w:rPr>
          <w:rFonts w:cs="Arial"/>
        </w:rPr>
        <w:t>roject</w:t>
      </w:r>
      <w:r w:rsidR="00966DBD">
        <w:rPr>
          <w:rFonts w:cs="Arial"/>
        </w:rPr>
        <w:t>’</w:t>
      </w:r>
      <w:r w:rsidR="006451C7">
        <w:rPr>
          <w:rFonts w:cs="Arial"/>
        </w:rPr>
        <w:t>s</w:t>
      </w:r>
      <w:r>
        <w:rPr>
          <w:rFonts w:cs="Arial"/>
        </w:rPr>
        <w:t xml:space="preserve"> </w:t>
      </w:r>
      <w:r w:rsidR="009003DC">
        <w:rPr>
          <w:rFonts w:cs="Arial"/>
        </w:rPr>
        <w:t xml:space="preserve">goal </w:t>
      </w:r>
      <w:r>
        <w:rPr>
          <w:rFonts w:cs="Arial"/>
        </w:rPr>
        <w:t xml:space="preserve">is to </w:t>
      </w:r>
      <w:r w:rsidR="009003DC">
        <w:rPr>
          <w:rFonts w:cs="Arial"/>
        </w:rPr>
        <w:t xml:space="preserve">support </w:t>
      </w:r>
      <w:r>
        <w:rPr>
          <w:rFonts w:cs="Arial"/>
        </w:rPr>
        <w:t xml:space="preserve">APEC economies to facilitate, where practical and appropriate, </w:t>
      </w:r>
      <w:r w:rsidR="009003DC">
        <w:rPr>
          <w:rFonts w:cs="Arial"/>
        </w:rPr>
        <w:t xml:space="preserve">greater </w:t>
      </w:r>
      <w:r>
        <w:rPr>
          <w:rFonts w:cs="Arial"/>
        </w:rPr>
        <w:t>regulatory convergence of MRLs across the region</w:t>
      </w:r>
      <w:r w:rsidR="002C112C">
        <w:rPr>
          <w:rFonts w:cs="Arial"/>
        </w:rPr>
        <w:t>,</w:t>
      </w:r>
      <w:r>
        <w:rPr>
          <w:rFonts w:cs="Arial"/>
        </w:rPr>
        <w:t xml:space="preserve"> and to promote alignment to international standards.  </w:t>
      </w:r>
    </w:p>
    <w:p w:rsidR="007E644D" w:rsidRPr="001C7A53" w:rsidRDefault="007E644D" w:rsidP="007E644D">
      <w:pPr>
        <w:rPr>
          <w:rFonts w:cs="Arial"/>
        </w:rPr>
      </w:pPr>
    </w:p>
    <w:p w:rsidR="007E644D" w:rsidRPr="00F2349F" w:rsidRDefault="007E644D" w:rsidP="007E644D">
      <w:pPr>
        <w:rPr>
          <w:rFonts w:cs="Arial"/>
          <w:b/>
          <w:sz w:val="24"/>
          <w:szCs w:val="24"/>
        </w:rPr>
      </w:pPr>
      <w:r w:rsidRPr="00F2349F">
        <w:rPr>
          <w:rFonts w:cs="Arial"/>
          <w:b/>
          <w:sz w:val="24"/>
          <w:szCs w:val="24"/>
        </w:rPr>
        <w:t>Background</w:t>
      </w:r>
    </w:p>
    <w:p w:rsidR="007E644D" w:rsidRDefault="007E644D" w:rsidP="007E644D">
      <w:pPr>
        <w:rPr>
          <w:rFonts w:cs="Arial"/>
        </w:rPr>
      </w:pPr>
    </w:p>
    <w:p w:rsidR="007E644D" w:rsidRDefault="007E644D" w:rsidP="007E644D">
      <w:r>
        <w:rPr>
          <w:rFonts w:cs="Arial"/>
        </w:rPr>
        <w:t>The APEC</w:t>
      </w:r>
      <w:r w:rsidRPr="00C53D58">
        <w:rPr>
          <w:rFonts w:cs="Arial"/>
        </w:rPr>
        <w:t xml:space="preserve"> </w:t>
      </w:r>
      <w:r>
        <w:rPr>
          <w:rFonts w:cs="Arial"/>
        </w:rPr>
        <w:t xml:space="preserve">Food Safety Cooperation Forum </w:t>
      </w:r>
      <w:r>
        <w:t xml:space="preserve">(FSCF) was formally established under the APEC Sub-Committee for Standards and Conformance (SCSC) at </w:t>
      </w:r>
      <w:r w:rsidR="00B475D6">
        <w:t xml:space="preserve">the </w:t>
      </w:r>
      <w:r>
        <w:t xml:space="preserve">inaugural meeting in Australia in April 2007. </w:t>
      </w:r>
      <w:r>
        <w:rPr>
          <w:lang w:val="en-AU"/>
        </w:rPr>
        <w:t>At this meeting,</w:t>
      </w:r>
      <w:r w:rsidRPr="00EA6419">
        <w:rPr>
          <w:lang w:val="en-AU"/>
        </w:rPr>
        <w:t xml:space="preserve"> APEC </w:t>
      </w:r>
      <w:r w:rsidR="0092145C">
        <w:rPr>
          <w:lang w:val="en-AU"/>
        </w:rPr>
        <w:t>member e</w:t>
      </w:r>
      <w:r w:rsidRPr="00EA6419">
        <w:rPr>
          <w:lang w:val="en-AU"/>
        </w:rPr>
        <w:t>conomies agreed to work together to</w:t>
      </w:r>
      <w:r w:rsidR="00B475D6">
        <w:rPr>
          <w:lang w:val="en-AU"/>
        </w:rPr>
        <w:t>:</w:t>
      </w:r>
      <w:r w:rsidRPr="00EA6419">
        <w:rPr>
          <w:lang w:val="en-AU"/>
        </w:rPr>
        <w:t xml:space="preserve"> strengthen food safety capacity building activities </w:t>
      </w:r>
      <w:r>
        <w:rPr>
          <w:lang w:val="en-AU"/>
        </w:rPr>
        <w:t>and improve information sharing</w:t>
      </w:r>
      <w:r w:rsidR="00B475D6">
        <w:rPr>
          <w:lang w:val="en-AU"/>
        </w:rPr>
        <w:t>;</w:t>
      </w:r>
      <w:r>
        <w:rPr>
          <w:lang w:val="en-AU"/>
        </w:rPr>
        <w:t xml:space="preserve"> develop</w:t>
      </w:r>
      <w:r w:rsidRPr="00EA6419">
        <w:rPr>
          <w:lang w:val="en-AU"/>
        </w:rPr>
        <w:t xml:space="preserve"> robust food safety systems</w:t>
      </w:r>
      <w:r w:rsidR="00367E5B">
        <w:rPr>
          <w:lang w:val="en-AU"/>
        </w:rPr>
        <w:t>; and</w:t>
      </w:r>
      <w:r w:rsidRPr="00DE3CBE">
        <w:t xml:space="preserve"> </w:t>
      </w:r>
      <w:r>
        <w:t>improve</w:t>
      </w:r>
      <w:r w:rsidRPr="00EA6419">
        <w:t xml:space="preserve"> the safety of food within </w:t>
      </w:r>
      <w:r w:rsidR="00B475D6">
        <w:t xml:space="preserve">and </w:t>
      </w:r>
      <w:r w:rsidRPr="00EA6419">
        <w:t>traded between APEC member economies.</w:t>
      </w:r>
      <w:r w:rsidRPr="00EA6419">
        <w:rPr>
          <w:lang w:val="en-AU"/>
        </w:rPr>
        <w:t> </w:t>
      </w:r>
      <w:r>
        <w:t>The FSCF is composed of food safety regulators from APEC member economies, as well as key international stakeholders.</w:t>
      </w:r>
      <w:r w:rsidRPr="00DE3CBE">
        <w:t xml:space="preserve"> </w:t>
      </w:r>
      <w:r>
        <w:t>It is co-c</w:t>
      </w:r>
      <w:r w:rsidRPr="00EA6419">
        <w:t xml:space="preserve">haired by Australia (Food Standards Australia New Zealand) and China (Import and Export Food Safety Bureau, General Administration of Quality Supervision, Inspection and Quarantine).  </w:t>
      </w:r>
    </w:p>
    <w:p w:rsidR="007E644D" w:rsidRDefault="007E644D" w:rsidP="007E644D"/>
    <w:p w:rsidR="00D90011" w:rsidRDefault="00D90011" w:rsidP="007E644D">
      <w:r>
        <w:t>A</w:t>
      </w:r>
      <w:r w:rsidR="0044117C">
        <w:t>t the 20</w:t>
      </w:r>
      <w:r>
        <w:t>11</w:t>
      </w:r>
      <w:r w:rsidR="0044117C">
        <w:t xml:space="preserve"> </w:t>
      </w:r>
      <w:r w:rsidR="0092145C">
        <w:t xml:space="preserve">APEC FSCF </w:t>
      </w:r>
      <w:r w:rsidR="0044117C">
        <w:t>meeting (</w:t>
      </w:r>
      <w:r>
        <w:t xml:space="preserve">Big Sky, </w:t>
      </w:r>
      <w:r w:rsidR="0092145C">
        <w:t>United States of America (</w:t>
      </w:r>
      <w:r w:rsidR="0044117C">
        <w:t>US</w:t>
      </w:r>
      <w:r w:rsidR="0092145C">
        <w:t>A)</w:t>
      </w:r>
      <w:r w:rsidR="0044117C">
        <w:t>)</w:t>
      </w:r>
      <w:r w:rsidR="008C71EF">
        <w:t>,</w:t>
      </w:r>
      <w:r w:rsidR="0044117C">
        <w:t xml:space="preserve"> </w:t>
      </w:r>
      <w:r>
        <w:t xml:space="preserve">it was agreed to work towards better aligning </w:t>
      </w:r>
      <w:r w:rsidR="00B30FCC">
        <w:t xml:space="preserve">APEC </w:t>
      </w:r>
      <w:r>
        <w:t>member economies</w:t>
      </w:r>
      <w:r w:rsidR="008C71EF">
        <w:t>’</w:t>
      </w:r>
      <w:r>
        <w:t xml:space="preserve"> </w:t>
      </w:r>
      <w:r w:rsidR="00B30FCC">
        <w:t xml:space="preserve">pesticide </w:t>
      </w:r>
      <w:r>
        <w:t xml:space="preserve">MRLs with international </w:t>
      </w:r>
      <w:r w:rsidR="006E6472">
        <w:t>(</w:t>
      </w:r>
      <w:proofErr w:type="spellStart"/>
      <w:r w:rsidR="006E6472">
        <w:t>eg</w:t>
      </w:r>
      <w:proofErr w:type="spellEnd"/>
      <w:r w:rsidR="006E6472">
        <w:t xml:space="preserve"> Codex) </w:t>
      </w:r>
      <w:r>
        <w:t>standards</w:t>
      </w:r>
      <w:r w:rsidR="008C71EF">
        <w:t>,</w:t>
      </w:r>
      <w:r>
        <w:t xml:space="preserve"> as </w:t>
      </w:r>
      <w:r w:rsidR="00B30FCC">
        <w:t>a way towards achieving greater harmonisation.</w:t>
      </w:r>
      <w:r>
        <w:t xml:space="preserve"> </w:t>
      </w:r>
      <w:r w:rsidR="00B30FCC">
        <w:t xml:space="preserve">Pesticide MRLs were selected because they are used to monitor good agricultural practices in the use of agrichemicals and also for international trade in food. </w:t>
      </w:r>
      <w:r w:rsidR="006E6472">
        <w:t>T</w:t>
      </w:r>
      <w:r w:rsidR="00B30FCC">
        <w:t xml:space="preserve">hey </w:t>
      </w:r>
      <w:r w:rsidR="006E6472">
        <w:t xml:space="preserve">also </w:t>
      </w:r>
      <w:r w:rsidR="00B30FCC">
        <w:t xml:space="preserve">act to protect public health and safety by ensuring that agricultural chemical residues in food are at safe levels and </w:t>
      </w:r>
      <w:r w:rsidR="006E6472">
        <w:t xml:space="preserve">do </w:t>
      </w:r>
      <w:r w:rsidR="00B30FCC">
        <w:t>not pose a health risk to consumers.</w:t>
      </w:r>
    </w:p>
    <w:p w:rsidR="00D90011" w:rsidRDefault="00D90011" w:rsidP="007E644D"/>
    <w:p w:rsidR="007E644D" w:rsidRPr="00D90011" w:rsidRDefault="007E644D" w:rsidP="007E644D">
      <w:pPr>
        <w:rPr>
          <w:lang w:val="en-AU"/>
        </w:rPr>
      </w:pPr>
      <w:r>
        <w:t xml:space="preserve">The 2013 </w:t>
      </w:r>
      <w:r w:rsidR="0092145C">
        <w:t xml:space="preserve">APEC </w:t>
      </w:r>
      <w:r w:rsidR="002C42EA">
        <w:t xml:space="preserve">FSCF </w:t>
      </w:r>
      <w:r>
        <w:t>meeting</w:t>
      </w:r>
      <w:r w:rsidR="00367E5B">
        <w:t xml:space="preserve"> </w:t>
      </w:r>
      <w:r w:rsidR="00D90011">
        <w:t>(</w:t>
      </w:r>
      <w:r w:rsidR="0092145C">
        <w:t xml:space="preserve">Surabaya, </w:t>
      </w:r>
      <w:r>
        <w:t>Indonesia</w:t>
      </w:r>
      <w:r w:rsidR="00D90011">
        <w:t>)</w:t>
      </w:r>
      <w:r>
        <w:t xml:space="preserve"> was important in develop</w:t>
      </w:r>
      <w:r w:rsidR="002C42EA">
        <w:t>ing</w:t>
      </w:r>
      <w:r>
        <w:t xml:space="preserve"> </w:t>
      </w:r>
      <w:r w:rsidR="002C42EA">
        <w:rPr>
          <w:lang w:val="en-US"/>
        </w:rPr>
        <w:t xml:space="preserve">an </w:t>
      </w:r>
      <w:r w:rsidRPr="00EA6419">
        <w:rPr>
          <w:lang w:val="en-US"/>
        </w:rPr>
        <w:t xml:space="preserve">Action Plan to </w:t>
      </w:r>
      <w:r w:rsidR="00B30FCC">
        <w:rPr>
          <w:lang w:val="en-US"/>
        </w:rPr>
        <w:t>i</w:t>
      </w:r>
      <w:r w:rsidRPr="00EA6419">
        <w:rPr>
          <w:lang w:val="en-US"/>
        </w:rPr>
        <w:t>mplement the AP</w:t>
      </w:r>
      <w:r>
        <w:rPr>
          <w:lang w:val="en-US"/>
        </w:rPr>
        <w:t>EC Regulatory Cooperation Plan (the Plan). T</w:t>
      </w:r>
      <w:r w:rsidRPr="00EA6419">
        <w:rPr>
          <w:lang w:val="en-US"/>
        </w:rPr>
        <w:t xml:space="preserve">he </w:t>
      </w:r>
      <w:r>
        <w:rPr>
          <w:lang w:val="en-US"/>
        </w:rPr>
        <w:t>Plan aim</w:t>
      </w:r>
      <w:r w:rsidR="002C42EA">
        <w:rPr>
          <w:lang w:val="en-US"/>
        </w:rPr>
        <w:t xml:space="preserve">s </w:t>
      </w:r>
      <w:r>
        <w:rPr>
          <w:lang w:val="en-US"/>
        </w:rPr>
        <w:t>to promote</w:t>
      </w:r>
      <w:r w:rsidRPr="00EA6419">
        <w:rPr>
          <w:lang w:val="en-US"/>
        </w:rPr>
        <w:t xml:space="preserve"> alignment </w:t>
      </w:r>
      <w:r w:rsidR="002C42EA">
        <w:rPr>
          <w:lang w:val="en-US"/>
        </w:rPr>
        <w:t xml:space="preserve">of standards </w:t>
      </w:r>
      <w:r>
        <w:rPr>
          <w:lang w:val="en-US"/>
        </w:rPr>
        <w:t xml:space="preserve">within member economies </w:t>
      </w:r>
      <w:r w:rsidRPr="00EA6419">
        <w:rPr>
          <w:lang w:val="en-US"/>
        </w:rPr>
        <w:t>to relevant international standards and test methods wherever possible</w:t>
      </w:r>
      <w:r>
        <w:rPr>
          <w:lang w:val="en-US"/>
        </w:rPr>
        <w:t xml:space="preserve"> and</w:t>
      </w:r>
      <w:r w:rsidRPr="00EA6419">
        <w:rPr>
          <w:lang w:val="en-US"/>
        </w:rPr>
        <w:t xml:space="preserve"> consistent with WTO obligations</w:t>
      </w:r>
      <w:r w:rsidR="002C42EA">
        <w:rPr>
          <w:lang w:val="en-US"/>
        </w:rPr>
        <w:t>. As part of the Plan</w:t>
      </w:r>
      <w:r w:rsidR="0092145C">
        <w:rPr>
          <w:lang w:val="en-US"/>
        </w:rPr>
        <w:t>,</w:t>
      </w:r>
      <w:r w:rsidR="002C42EA">
        <w:rPr>
          <w:lang w:val="en-US"/>
        </w:rPr>
        <w:t xml:space="preserve"> two priority areas were chosen</w:t>
      </w:r>
      <w:r w:rsidRPr="00EA6419">
        <w:rPr>
          <w:lang w:val="en-US"/>
        </w:rPr>
        <w:t xml:space="preserve"> </w:t>
      </w:r>
      <w:r w:rsidR="002C42EA">
        <w:rPr>
          <w:lang w:val="en-US"/>
        </w:rPr>
        <w:t>to pilot this work:</w:t>
      </w:r>
      <w:r w:rsidRPr="00EA6419">
        <w:rPr>
          <w:lang w:val="en-US"/>
        </w:rPr>
        <w:t xml:space="preserve"> </w:t>
      </w:r>
      <w:proofErr w:type="spellStart"/>
      <w:r w:rsidRPr="00EA6419">
        <w:rPr>
          <w:lang w:val="en-US"/>
        </w:rPr>
        <w:t>i</w:t>
      </w:r>
      <w:proofErr w:type="spellEnd"/>
      <w:r w:rsidRPr="00EA6419">
        <w:rPr>
          <w:lang w:val="en-US"/>
        </w:rPr>
        <w:t>) Export Certificates</w:t>
      </w:r>
      <w:r w:rsidR="00367E5B">
        <w:rPr>
          <w:lang w:val="en-US"/>
        </w:rPr>
        <w:t>;</w:t>
      </w:r>
      <w:r w:rsidRPr="00EA6419">
        <w:rPr>
          <w:lang w:val="en-US"/>
        </w:rPr>
        <w:t xml:space="preserve"> and ii) Pesticide Maximum Residue Levels (MRLs). </w:t>
      </w:r>
      <w:r w:rsidRPr="00C53D58">
        <w:rPr>
          <w:rFonts w:cs="Arial"/>
        </w:rPr>
        <w:t xml:space="preserve"> </w:t>
      </w:r>
    </w:p>
    <w:p w:rsidR="007E644D" w:rsidRDefault="007E644D" w:rsidP="007E644D">
      <w:r w:rsidRPr="00EA6419">
        <w:t xml:space="preserve"> </w:t>
      </w:r>
      <w:r>
        <w:t xml:space="preserve">  </w:t>
      </w:r>
    </w:p>
    <w:p w:rsidR="007E644D" w:rsidRDefault="007E644D" w:rsidP="007E644D">
      <w:pPr>
        <w:rPr>
          <w:lang w:val="en-AU"/>
        </w:rPr>
      </w:pPr>
      <w:r>
        <w:rPr>
          <w:lang w:val="en-AU"/>
        </w:rPr>
        <w:t xml:space="preserve">Activities relating to Export Certificates </w:t>
      </w:r>
      <w:r w:rsidR="002C42EA">
        <w:rPr>
          <w:lang w:val="en-AU"/>
        </w:rPr>
        <w:t xml:space="preserve">have been </w:t>
      </w:r>
      <w:r>
        <w:rPr>
          <w:lang w:val="en-AU"/>
        </w:rPr>
        <w:t>led by the U</w:t>
      </w:r>
      <w:r w:rsidR="0092145C">
        <w:rPr>
          <w:lang w:val="en-AU"/>
        </w:rPr>
        <w:t>SA</w:t>
      </w:r>
      <w:r>
        <w:rPr>
          <w:lang w:val="en-AU"/>
        </w:rPr>
        <w:t xml:space="preserve"> in collaboration with member economies</w:t>
      </w:r>
      <w:r w:rsidR="002C42EA">
        <w:rPr>
          <w:lang w:val="en-AU"/>
        </w:rPr>
        <w:t>.</w:t>
      </w:r>
      <w:r>
        <w:rPr>
          <w:lang w:val="en-AU"/>
        </w:rPr>
        <w:t xml:space="preserve"> </w:t>
      </w:r>
      <w:r w:rsidR="002C42EA">
        <w:rPr>
          <w:lang w:val="en-AU"/>
        </w:rPr>
        <w:t>T</w:t>
      </w:r>
      <w:r w:rsidR="00367E5B">
        <w:rPr>
          <w:lang w:val="en-AU"/>
        </w:rPr>
        <w:t xml:space="preserve">he Pesticides MRLs work that has initially focussed on a pilot project for MRLs in wine grapes and wine </w:t>
      </w:r>
      <w:r w:rsidR="002C42EA">
        <w:rPr>
          <w:lang w:val="en-AU"/>
        </w:rPr>
        <w:t xml:space="preserve">has been </w:t>
      </w:r>
      <w:r>
        <w:rPr>
          <w:lang w:val="en-AU"/>
        </w:rPr>
        <w:t>led by Australia</w:t>
      </w:r>
      <w:r w:rsidR="0092145C">
        <w:rPr>
          <w:lang w:val="en-AU"/>
        </w:rPr>
        <w:t>,</w:t>
      </w:r>
      <w:r>
        <w:rPr>
          <w:lang w:val="en-AU"/>
        </w:rPr>
        <w:t xml:space="preserve"> with Food Standards Australia New Zealand (FSANZ) </w:t>
      </w:r>
      <w:r w:rsidR="002C42EA">
        <w:rPr>
          <w:lang w:val="en-AU"/>
        </w:rPr>
        <w:t xml:space="preserve">coordinating the </w:t>
      </w:r>
      <w:r>
        <w:rPr>
          <w:lang w:val="en-AU"/>
        </w:rPr>
        <w:t xml:space="preserve">work in </w:t>
      </w:r>
      <w:r w:rsidR="002C42EA">
        <w:rPr>
          <w:lang w:val="en-AU"/>
        </w:rPr>
        <w:t xml:space="preserve">collaboration </w:t>
      </w:r>
      <w:r>
        <w:rPr>
          <w:lang w:val="en-AU"/>
        </w:rPr>
        <w:t xml:space="preserve">with </w:t>
      </w:r>
      <w:r>
        <w:t>the APEC Wine Regulatory Forum.</w:t>
      </w:r>
      <w:r>
        <w:rPr>
          <w:lang w:val="en-AU"/>
        </w:rPr>
        <w:t xml:space="preserve"> </w:t>
      </w:r>
    </w:p>
    <w:p w:rsidR="00AF519F" w:rsidRDefault="00AF519F" w:rsidP="00AF519F"/>
    <w:p w:rsidR="0044117C" w:rsidRDefault="0044117C" w:rsidP="007E644D">
      <w:pPr>
        <w:pStyle w:val="APECForm"/>
        <w:spacing w:before="0" w:after="0" w:line="240" w:lineRule="auto"/>
        <w:rPr>
          <w:rFonts w:cs="Arial"/>
          <w:b/>
          <w:sz w:val="24"/>
          <w:szCs w:val="24"/>
        </w:rPr>
      </w:pPr>
    </w:p>
    <w:p w:rsidR="007E644D" w:rsidRPr="00F2349F" w:rsidRDefault="00AB61DA" w:rsidP="007E644D">
      <w:pPr>
        <w:pStyle w:val="APECForm"/>
        <w:spacing w:before="0" w:after="0" w:line="240" w:lineRule="auto"/>
        <w:rPr>
          <w:rFonts w:cs="Arial"/>
          <w:b/>
          <w:sz w:val="24"/>
          <w:szCs w:val="24"/>
        </w:rPr>
      </w:pPr>
      <w:r w:rsidRPr="00F2349F">
        <w:rPr>
          <w:rFonts w:cs="Arial"/>
          <w:b/>
          <w:sz w:val="24"/>
          <w:szCs w:val="24"/>
        </w:rPr>
        <w:t>MRL Roadmap and proposed activities</w:t>
      </w:r>
      <w:r w:rsidR="007E644D" w:rsidRPr="00F2349F">
        <w:rPr>
          <w:rFonts w:cs="Arial"/>
          <w:b/>
          <w:sz w:val="24"/>
          <w:szCs w:val="24"/>
        </w:rPr>
        <w:t xml:space="preserve"> </w:t>
      </w:r>
    </w:p>
    <w:p w:rsidR="007E644D" w:rsidRDefault="007E644D" w:rsidP="007E644D">
      <w:pPr>
        <w:pStyle w:val="APECForm"/>
        <w:spacing w:before="0" w:after="0" w:line="240" w:lineRule="auto"/>
        <w:rPr>
          <w:rFonts w:cs="Arial"/>
          <w:sz w:val="22"/>
        </w:rPr>
      </w:pPr>
    </w:p>
    <w:p w:rsidR="00F25FD1" w:rsidRPr="00F2349F" w:rsidRDefault="00F25FD1" w:rsidP="00151E7A">
      <w:pPr>
        <w:pStyle w:val="APECForm"/>
        <w:numPr>
          <w:ilvl w:val="0"/>
          <w:numId w:val="12"/>
        </w:numPr>
        <w:spacing w:before="0" w:after="0" w:line="240" w:lineRule="auto"/>
        <w:rPr>
          <w:rFonts w:cs="Arial"/>
          <w:b/>
          <w:i/>
          <w:sz w:val="22"/>
        </w:rPr>
      </w:pPr>
      <w:r w:rsidRPr="00F2349F">
        <w:rPr>
          <w:rFonts w:cs="Arial"/>
          <w:b/>
          <w:i/>
          <w:sz w:val="22"/>
        </w:rPr>
        <w:t>Progress of MRL work on wine grapes and wine</w:t>
      </w:r>
    </w:p>
    <w:p w:rsidR="00F25FD1" w:rsidRDefault="00F25FD1" w:rsidP="00F25FD1">
      <w:pPr>
        <w:pStyle w:val="APECForm"/>
        <w:spacing w:before="0" w:after="0" w:line="240" w:lineRule="auto"/>
        <w:rPr>
          <w:rFonts w:cs="Arial"/>
          <w:b/>
          <w:sz w:val="22"/>
        </w:rPr>
      </w:pPr>
    </w:p>
    <w:p w:rsidR="00E11560" w:rsidRDefault="0044117C" w:rsidP="0044117C">
      <w:pPr>
        <w:pStyle w:val="APECForm"/>
        <w:spacing w:before="0" w:after="0" w:line="240" w:lineRule="auto"/>
        <w:rPr>
          <w:rFonts w:cs="Arial"/>
          <w:sz w:val="22"/>
        </w:rPr>
      </w:pPr>
      <w:r>
        <w:rPr>
          <w:rFonts w:cs="Arial"/>
          <w:sz w:val="22"/>
        </w:rPr>
        <w:t>The Plan that was developed by the FSCF in 2013 established a two-year timeframe in which to advance the work on the harmonisation of pesticide MRLs through priority pilot areas.</w:t>
      </w:r>
    </w:p>
    <w:p w:rsidR="0044117C" w:rsidRDefault="0044117C" w:rsidP="0044117C">
      <w:pPr>
        <w:pStyle w:val="APECForm"/>
        <w:spacing w:before="0" w:after="0" w:line="240" w:lineRule="auto"/>
        <w:rPr>
          <w:rFonts w:cs="Arial"/>
          <w:sz w:val="22"/>
        </w:rPr>
      </w:pPr>
      <w:r>
        <w:rPr>
          <w:rFonts w:cs="Arial"/>
          <w:sz w:val="22"/>
        </w:rPr>
        <w:lastRenderedPageBreak/>
        <w:t>The areas identified for initial action were:</w:t>
      </w:r>
    </w:p>
    <w:p w:rsidR="0044117C" w:rsidRDefault="0044117C" w:rsidP="00151E7A">
      <w:pPr>
        <w:pStyle w:val="APECForm"/>
        <w:numPr>
          <w:ilvl w:val="0"/>
          <w:numId w:val="11"/>
        </w:numPr>
        <w:spacing w:before="0" w:after="0" w:line="240" w:lineRule="auto"/>
        <w:ind w:left="357" w:hanging="357"/>
        <w:rPr>
          <w:rFonts w:cs="Arial"/>
          <w:sz w:val="22"/>
        </w:rPr>
      </w:pPr>
      <w:r>
        <w:rPr>
          <w:rFonts w:cs="Arial"/>
          <w:sz w:val="22"/>
        </w:rPr>
        <w:t>Interpretation of the term ‘recognition’ within the APEC region for regulatory convergence</w:t>
      </w:r>
      <w:r w:rsidRPr="005621A8">
        <w:rPr>
          <w:rFonts w:cs="Arial"/>
          <w:sz w:val="22"/>
        </w:rPr>
        <w:t xml:space="preserve"> </w:t>
      </w:r>
      <w:r>
        <w:rPr>
          <w:rFonts w:cs="Arial"/>
          <w:sz w:val="22"/>
        </w:rPr>
        <w:t>of MRLs</w:t>
      </w:r>
    </w:p>
    <w:p w:rsidR="0044117C" w:rsidRDefault="0044117C" w:rsidP="00151E7A">
      <w:pPr>
        <w:pStyle w:val="APECForm"/>
        <w:numPr>
          <w:ilvl w:val="0"/>
          <w:numId w:val="11"/>
        </w:numPr>
        <w:spacing w:before="0" w:after="0" w:line="240" w:lineRule="auto"/>
        <w:ind w:left="357" w:hanging="357"/>
        <w:rPr>
          <w:rFonts w:cs="Arial"/>
          <w:sz w:val="22"/>
        </w:rPr>
      </w:pPr>
      <w:r>
        <w:rPr>
          <w:rFonts w:cs="Arial"/>
          <w:sz w:val="22"/>
        </w:rPr>
        <w:t>Case study on ‘import tolerance’</w:t>
      </w:r>
    </w:p>
    <w:p w:rsidR="0044117C" w:rsidRDefault="0044117C" w:rsidP="00151E7A">
      <w:pPr>
        <w:pStyle w:val="APECForm"/>
        <w:numPr>
          <w:ilvl w:val="0"/>
          <w:numId w:val="11"/>
        </w:numPr>
        <w:spacing w:before="0" w:after="0" w:line="240" w:lineRule="auto"/>
        <w:ind w:left="357" w:hanging="357"/>
        <w:rPr>
          <w:rFonts w:cs="Arial"/>
          <w:sz w:val="22"/>
        </w:rPr>
      </w:pPr>
      <w:r>
        <w:rPr>
          <w:rFonts w:cs="Arial"/>
          <w:sz w:val="22"/>
        </w:rPr>
        <w:t xml:space="preserve">Wine </w:t>
      </w:r>
      <w:r w:rsidR="001D5D43">
        <w:rPr>
          <w:rFonts w:cs="Arial"/>
          <w:sz w:val="22"/>
        </w:rPr>
        <w:t xml:space="preserve">grapes and wine </w:t>
      </w:r>
      <w:r>
        <w:rPr>
          <w:rFonts w:cs="Arial"/>
          <w:sz w:val="22"/>
        </w:rPr>
        <w:t>MRL pilot project.</w:t>
      </w:r>
    </w:p>
    <w:p w:rsidR="0044117C" w:rsidRDefault="0044117C" w:rsidP="00F25FD1">
      <w:pPr>
        <w:pStyle w:val="APECForm"/>
        <w:spacing w:before="0" w:after="0" w:line="240" w:lineRule="auto"/>
        <w:rPr>
          <w:rFonts w:cs="Arial"/>
          <w:sz w:val="22"/>
        </w:rPr>
      </w:pPr>
    </w:p>
    <w:p w:rsidR="001C6C84" w:rsidRDefault="000A3E5E" w:rsidP="00F25FD1">
      <w:pPr>
        <w:pStyle w:val="APECForm"/>
        <w:spacing w:before="0" w:after="0" w:line="240" w:lineRule="auto"/>
        <w:rPr>
          <w:rFonts w:cs="Arial"/>
          <w:sz w:val="22"/>
        </w:rPr>
      </w:pPr>
      <w:r>
        <w:rPr>
          <w:rFonts w:cs="Arial"/>
          <w:sz w:val="22"/>
        </w:rPr>
        <w:t>The terms ‘recognition’ and ‘import tolerance’</w:t>
      </w:r>
      <w:r w:rsidR="0092145C">
        <w:rPr>
          <w:rFonts w:cs="Arial"/>
          <w:sz w:val="22"/>
        </w:rPr>
        <w:t>,</w:t>
      </w:r>
      <w:r>
        <w:rPr>
          <w:rFonts w:cs="Arial"/>
          <w:sz w:val="22"/>
        </w:rPr>
        <w:t xml:space="preserve"> </w:t>
      </w:r>
      <w:r w:rsidR="00105160">
        <w:rPr>
          <w:rFonts w:cs="Arial"/>
          <w:sz w:val="22"/>
        </w:rPr>
        <w:t xml:space="preserve">as </w:t>
      </w:r>
      <w:r w:rsidR="000612A6">
        <w:rPr>
          <w:rFonts w:cs="Arial"/>
          <w:sz w:val="22"/>
        </w:rPr>
        <w:t xml:space="preserve">currently </w:t>
      </w:r>
      <w:r w:rsidR="00105160">
        <w:rPr>
          <w:rFonts w:cs="Arial"/>
          <w:sz w:val="22"/>
        </w:rPr>
        <w:t xml:space="preserve">understood </w:t>
      </w:r>
      <w:r>
        <w:rPr>
          <w:rFonts w:cs="Arial"/>
          <w:sz w:val="22"/>
        </w:rPr>
        <w:t>by member economies</w:t>
      </w:r>
      <w:r w:rsidR="0092145C">
        <w:rPr>
          <w:rFonts w:cs="Arial"/>
          <w:sz w:val="22"/>
        </w:rPr>
        <w:t>,</w:t>
      </w:r>
      <w:r>
        <w:rPr>
          <w:rFonts w:cs="Arial"/>
          <w:sz w:val="22"/>
        </w:rPr>
        <w:t xml:space="preserve"> are:</w:t>
      </w:r>
    </w:p>
    <w:p w:rsidR="00DF6137" w:rsidRDefault="00FB0D23" w:rsidP="00151E7A">
      <w:pPr>
        <w:pStyle w:val="APECForm"/>
        <w:numPr>
          <w:ilvl w:val="0"/>
          <w:numId w:val="13"/>
        </w:numPr>
        <w:spacing w:before="0" w:after="0" w:line="240" w:lineRule="auto"/>
        <w:ind w:left="357" w:hanging="357"/>
        <w:rPr>
          <w:rFonts w:cs="Arial"/>
          <w:sz w:val="22"/>
        </w:rPr>
      </w:pPr>
      <w:r w:rsidRPr="00F855A8">
        <w:rPr>
          <w:rFonts w:cs="Arial"/>
          <w:b/>
          <w:sz w:val="22"/>
        </w:rPr>
        <w:t>Unilateral ‘recognition’</w:t>
      </w:r>
      <w:r>
        <w:rPr>
          <w:rFonts w:cs="Arial"/>
          <w:sz w:val="22"/>
        </w:rPr>
        <w:t xml:space="preserve"> – </w:t>
      </w:r>
      <w:r w:rsidR="002F49A0">
        <w:rPr>
          <w:rFonts w:cs="Arial"/>
          <w:sz w:val="22"/>
        </w:rPr>
        <w:t>refers to an</w:t>
      </w:r>
      <w:r>
        <w:rPr>
          <w:rFonts w:cs="Arial"/>
          <w:sz w:val="22"/>
        </w:rPr>
        <w:t xml:space="preserve"> approach to MRL harmonisation </w:t>
      </w:r>
      <w:r w:rsidR="002F49A0">
        <w:rPr>
          <w:rFonts w:cs="Arial"/>
          <w:sz w:val="22"/>
        </w:rPr>
        <w:t xml:space="preserve">that </w:t>
      </w:r>
      <w:r>
        <w:rPr>
          <w:rFonts w:cs="Arial"/>
          <w:sz w:val="22"/>
        </w:rPr>
        <w:t>is possible in only a limited number of economies</w:t>
      </w:r>
      <w:r w:rsidR="000A3E5E">
        <w:rPr>
          <w:rFonts w:cs="Arial"/>
          <w:sz w:val="22"/>
        </w:rPr>
        <w:t>,</w:t>
      </w:r>
      <w:r>
        <w:rPr>
          <w:rFonts w:cs="Arial"/>
          <w:sz w:val="22"/>
        </w:rPr>
        <w:t xml:space="preserve"> as the domestic food safety legislation of most economies does not allow it. Such MRL harmonisation </w:t>
      </w:r>
      <w:r w:rsidR="00011421">
        <w:rPr>
          <w:rFonts w:cs="Arial"/>
          <w:sz w:val="22"/>
        </w:rPr>
        <w:t xml:space="preserve">is </w:t>
      </w:r>
      <w:r>
        <w:rPr>
          <w:rFonts w:cs="Arial"/>
          <w:sz w:val="22"/>
        </w:rPr>
        <w:t>agree</w:t>
      </w:r>
      <w:r w:rsidR="00CB73AF">
        <w:rPr>
          <w:rFonts w:cs="Arial"/>
          <w:sz w:val="22"/>
        </w:rPr>
        <w:t>d on a bilateral basis as</w:t>
      </w:r>
      <w:r w:rsidR="0092145C">
        <w:rPr>
          <w:rFonts w:cs="Arial"/>
          <w:sz w:val="22"/>
        </w:rPr>
        <w:t>,</w:t>
      </w:r>
      <w:r w:rsidR="00CB73AF">
        <w:rPr>
          <w:rFonts w:cs="Arial"/>
          <w:sz w:val="22"/>
        </w:rPr>
        <w:t xml:space="preserve"> </w:t>
      </w:r>
      <w:r w:rsidR="00011421">
        <w:rPr>
          <w:rFonts w:cs="Arial"/>
          <w:sz w:val="22"/>
        </w:rPr>
        <w:t>for example</w:t>
      </w:r>
      <w:r w:rsidR="0092145C">
        <w:rPr>
          <w:rFonts w:cs="Arial"/>
          <w:sz w:val="22"/>
        </w:rPr>
        <w:t>,</w:t>
      </w:r>
      <w:r w:rsidR="00011421">
        <w:rPr>
          <w:rFonts w:cs="Arial"/>
          <w:sz w:val="22"/>
        </w:rPr>
        <w:t xml:space="preserve"> those agreements that </w:t>
      </w:r>
      <w:r w:rsidR="00CB73AF">
        <w:rPr>
          <w:rFonts w:cs="Arial"/>
          <w:sz w:val="22"/>
        </w:rPr>
        <w:t>exist</w:t>
      </w:r>
      <w:r>
        <w:rPr>
          <w:rFonts w:cs="Arial"/>
          <w:sz w:val="22"/>
        </w:rPr>
        <w:t xml:space="preserve"> between Australia and New Zealand, and between the USA and Mexico. However, this approach is not a viable option for global trade in food.</w:t>
      </w:r>
    </w:p>
    <w:p w:rsidR="00F24870" w:rsidRDefault="00105160" w:rsidP="00B43693">
      <w:pPr>
        <w:pStyle w:val="APECForm"/>
        <w:numPr>
          <w:ilvl w:val="0"/>
          <w:numId w:val="13"/>
        </w:numPr>
        <w:spacing w:before="0" w:after="0" w:line="240" w:lineRule="auto"/>
        <w:ind w:left="357" w:hanging="357"/>
        <w:rPr>
          <w:rFonts w:cs="Arial"/>
          <w:sz w:val="22"/>
        </w:rPr>
      </w:pPr>
      <w:r>
        <w:rPr>
          <w:rFonts w:cs="Arial"/>
          <w:b/>
          <w:sz w:val="22"/>
        </w:rPr>
        <w:t xml:space="preserve">Import tolerances - </w:t>
      </w:r>
      <w:r w:rsidR="00F855A8" w:rsidRPr="00DF6137">
        <w:rPr>
          <w:rFonts w:cs="Arial"/>
          <w:b/>
          <w:sz w:val="22"/>
        </w:rPr>
        <w:t>equivalent to MRLs –</w:t>
      </w:r>
      <w:r w:rsidR="002F49A0">
        <w:rPr>
          <w:rFonts w:cs="Arial"/>
          <w:sz w:val="22"/>
        </w:rPr>
        <w:t xml:space="preserve"> r</w:t>
      </w:r>
      <w:r w:rsidR="00B43693" w:rsidRPr="002F49A0">
        <w:rPr>
          <w:rFonts w:cs="Arial"/>
          <w:sz w:val="22"/>
        </w:rPr>
        <w:t xml:space="preserve">efers to </w:t>
      </w:r>
      <w:r w:rsidR="009508E5" w:rsidRPr="002F49A0">
        <w:rPr>
          <w:rFonts w:cs="Arial"/>
          <w:sz w:val="22"/>
        </w:rPr>
        <w:t xml:space="preserve">an approach for </w:t>
      </w:r>
      <w:r w:rsidR="00011421">
        <w:rPr>
          <w:rFonts w:cs="Arial"/>
          <w:sz w:val="22"/>
        </w:rPr>
        <w:t xml:space="preserve">acceptance of another </w:t>
      </w:r>
      <w:r w:rsidR="0092145C">
        <w:rPr>
          <w:rFonts w:cs="Arial"/>
          <w:sz w:val="22"/>
        </w:rPr>
        <w:t>member economy</w:t>
      </w:r>
      <w:r w:rsidR="00011421">
        <w:rPr>
          <w:rFonts w:cs="Arial"/>
          <w:sz w:val="22"/>
        </w:rPr>
        <w:t xml:space="preserve">’s </w:t>
      </w:r>
      <w:r w:rsidR="009508E5" w:rsidRPr="002F49A0">
        <w:rPr>
          <w:rFonts w:cs="Arial"/>
          <w:sz w:val="22"/>
        </w:rPr>
        <w:t>MRL</w:t>
      </w:r>
      <w:r w:rsidR="0092145C">
        <w:rPr>
          <w:rFonts w:cs="Arial"/>
          <w:sz w:val="22"/>
        </w:rPr>
        <w:t xml:space="preserve"> </w:t>
      </w:r>
      <w:r w:rsidR="00011421">
        <w:rPr>
          <w:rFonts w:cs="Arial"/>
          <w:sz w:val="22"/>
        </w:rPr>
        <w:t>that</w:t>
      </w:r>
      <w:r w:rsidR="002C112C" w:rsidRPr="00B43693">
        <w:rPr>
          <w:rFonts w:cs="Arial"/>
          <w:sz w:val="22"/>
        </w:rPr>
        <w:t xml:space="preserve"> c</w:t>
      </w:r>
      <w:r w:rsidR="00592A84" w:rsidRPr="00B43693">
        <w:rPr>
          <w:rFonts w:cs="Arial"/>
          <w:sz w:val="22"/>
        </w:rPr>
        <w:t>an use</w:t>
      </w:r>
      <w:r w:rsidR="009508E5" w:rsidRPr="00B43693">
        <w:rPr>
          <w:rFonts w:cs="Arial"/>
          <w:sz w:val="22"/>
        </w:rPr>
        <w:t xml:space="preserve"> </w:t>
      </w:r>
      <w:r w:rsidR="00011421">
        <w:rPr>
          <w:rFonts w:cs="Arial"/>
          <w:sz w:val="22"/>
        </w:rPr>
        <w:t xml:space="preserve">a number of </w:t>
      </w:r>
      <w:r w:rsidR="00592A84" w:rsidRPr="00B43693">
        <w:rPr>
          <w:rFonts w:cs="Arial"/>
          <w:sz w:val="22"/>
        </w:rPr>
        <w:t>methods</w:t>
      </w:r>
      <w:r w:rsidR="00011421">
        <w:rPr>
          <w:rFonts w:cs="Arial"/>
          <w:sz w:val="22"/>
        </w:rPr>
        <w:t xml:space="preserve"> including</w:t>
      </w:r>
      <w:r w:rsidR="00F24870">
        <w:rPr>
          <w:rFonts w:cs="Arial"/>
          <w:sz w:val="22"/>
        </w:rPr>
        <w:t>:</w:t>
      </w:r>
      <w:r w:rsidR="00592A84" w:rsidRPr="00B43693">
        <w:rPr>
          <w:rFonts w:cs="Arial"/>
          <w:sz w:val="22"/>
        </w:rPr>
        <w:t xml:space="preserve"> </w:t>
      </w:r>
    </w:p>
    <w:p w:rsidR="00F24870" w:rsidRDefault="00011421" w:rsidP="00F24870">
      <w:pPr>
        <w:pStyle w:val="APECForm"/>
        <w:numPr>
          <w:ilvl w:val="1"/>
          <w:numId w:val="13"/>
        </w:numPr>
        <w:spacing w:before="0" w:after="0" w:line="240" w:lineRule="auto"/>
        <w:ind w:left="697" w:hanging="357"/>
        <w:rPr>
          <w:rFonts w:cs="Arial"/>
          <w:sz w:val="22"/>
        </w:rPr>
      </w:pPr>
      <w:r>
        <w:rPr>
          <w:rFonts w:cs="Arial"/>
          <w:sz w:val="22"/>
        </w:rPr>
        <w:t xml:space="preserve">Automatic </w:t>
      </w:r>
      <w:r w:rsidR="00592A84" w:rsidRPr="00B43693">
        <w:rPr>
          <w:rFonts w:cs="Arial"/>
          <w:sz w:val="22"/>
        </w:rPr>
        <w:t>recognition of Codex MRLs</w:t>
      </w:r>
      <w:r w:rsidR="00F24870">
        <w:rPr>
          <w:rFonts w:cs="Arial"/>
          <w:sz w:val="22"/>
        </w:rPr>
        <w:t xml:space="preserve"> or</w:t>
      </w:r>
      <w:r w:rsidR="00592A84" w:rsidRPr="00B43693">
        <w:rPr>
          <w:rFonts w:cs="Arial"/>
          <w:sz w:val="22"/>
        </w:rPr>
        <w:t xml:space="preserve"> </w:t>
      </w:r>
      <w:r>
        <w:rPr>
          <w:rFonts w:cs="Arial"/>
          <w:sz w:val="22"/>
        </w:rPr>
        <w:t xml:space="preserve">a </w:t>
      </w:r>
      <w:r w:rsidR="00592A84" w:rsidRPr="00B43693">
        <w:rPr>
          <w:rFonts w:cs="Arial"/>
          <w:sz w:val="22"/>
        </w:rPr>
        <w:t>trading partners’ MRLs</w:t>
      </w:r>
    </w:p>
    <w:p w:rsidR="00F855A8" w:rsidRPr="00B43693" w:rsidRDefault="00011421" w:rsidP="00F24870">
      <w:pPr>
        <w:pStyle w:val="APECForm"/>
        <w:numPr>
          <w:ilvl w:val="1"/>
          <w:numId w:val="13"/>
        </w:numPr>
        <w:spacing w:before="0" w:after="0" w:line="240" w:lineRule="auto"/>
        <w:ind w:left="697" w:hanging="357"/>
        <w:rPr>
          <w:rFonts w:cs="Arial"/>
          <w:sz w:val="22"/>
        </w:rPr>
      </w:pPr>
      <w:r>
        <w:rPr>
          <w:rFonts w:cs="Arial"/>
          <w:sz w:val="22"/>
        </w:rPr>
        <w:t>E</w:t>
      </w:r>
      <w:r w:rsidR="00592A84" w:rsidRPr="00B43693">
        <w:rPr>
          <w:rFonts w:cs="Arial"/>
          <w:sz w:val="22"/>
        </w:rPr>
        <w:t xml:space="preserve">stablishment of MRLs (import tolerances) </w:t>
      </w:r>
      <w:r>
        <w:rPr>
          <w:rFonts w:cs="Arial"/>
          <w:sz w:val="22"/>
        </w:rPr>
        <w:t xml:space="preserve">from an importing </w:t>
      </w:r>
      <w:r w:rsidR="0092145C">
        <w:rPr>
          <w:rFonts w:cs="Arial"/>
          <w:sz w:val="22"/>
        </w:rPr>
        <w:t>member economy</w:t>
      </w:r>
      <w:r>
        <w:rPr>
          <w:rFonts w:cs="Arial"/>
          <w:sz w:val="22"/>
        </w:rPr>
        <w:t xml:space="preserve"> </w:t>
      </w:r>
      <w:r w:rsidR="00D15795">
        <w:rPr>
          <w:rFonts w:cs="Arial"/>
          <w:sz w:val="22"/>
        </w:rPr>
        <w:t xml:space="preserve">on a case-by-case basis supported by </w:t>
      </w:r>
      <w:r w:rsidR="00592A84" w:rsidRPr="00B43693">
        <w:rPr>
          <w:rFonts w:cs="Arial"/>
          <w:sz w:val="22"/>
        </w:rPr>
        <w:t xml:space="preserve">risk assessment </w:t>
      </w:r>
      <w:r w:rsidR="00DF6137" w:rsidRPr="00B43693">
        <w:rPr>
          <w:rFonts w:cs="Arial"/>
          <w:sz w:val="22"/>
        </w:rPr>
        <w:t>processes</w:t>
      </w:r>
      <w:r w:rsidR="00105160" w:rsidRPr="00B43693">
        <w:rPr>
          <w:rFonts w:cs="Arial"/>
          <w:sz w:val="22"/>
        </w:rPr>
        <w:t xml:space="preserve">. </w:t>
      </w:r>
    </w:p>
    <w:p w:rsidR="00F25FD1" w:rsidRDefault="00F25FD1" w:rsidP="007E644D">
      <w:pPr>
        <w:pStyle w:val="APECForm"/>
        <w:spacing w:before="0" w:after="0" w:line="240" w:lineRule="auto"/>
        <w:rPr>
          <w:rFonts w:cs="Arial"/>
          <w:sz w:val="22"/>
        </w:rPr>
      </w:pPr>
    </w:p>
    <w:p w:rsidR="002857E2" w:rsidRDefault="007E644D" w:rsidP="007E644D">
      <w:pPr>
        <w:pStyle w:val="APECForm"/>
        <w:spacing w:before="0" w:after="0" w:line="240" w:lineRule="auto"/>
        <w:rPr>
          <w:rFonts w:cs="Arial"/>
          <w:sz w:val="22"/>
        </w:rPr>
      </w:pPr>
      <w:r>
        <w:rPr>
          <w:rFonts w:cs="Arial"/>
          <w:sz w:val="22"/>
        </w:rPr>
        <w:t>To proceed with the MRL harmonisation work, a working group comprising Australia and China (Co-Leaders), the U</w:t>
      </w:r>
      <w:r w:rsidR="0092145C">
        <w:rPr>
          <w:rFonts w:cs="Arial"/>
          <w:sz w:val="22"/>
        </w:rPr>
        <w:t>SA</w:t>
      </w:r>
      <w:r>
        <w:rPr>
          <w:rFonts w:cs="Arial"/>
          <w:sz w:val="22"/>
        </w:rPr>
        <w:t>, Chinese Taipei</w:t>
      </w:r>
      <w:r w:rsidR="00385C11">
        <w:rPr>
          <w:rFonts w:cs="Arial"/>
          <w:sz w:val="22"/>
        </w:rPr>
        <w:t xml:space="preserve"> and</w:t>
      </w:r>
      <w:r>
        <w:rPr>
          <w:rFonts w:cs="Arial"/>
          <w:sz w:val="22"/>
        </w:rPr>
        <w:t xml:space="preserve"> Thailand</w:t>
      </w:r>
      <w:r w:rsidR="00385C11">
        <w:rPr>
          <w:rFonts w:cs="Arial"/>
          <w:sz w:val="22"/>
        </w:rPr>
        <w:t>,</w:t>
      </w:r>
      <w:r>
        <w:rPr>
          <w:rFonts w:cs="Arial"/>
          <w:sz w:val="22"/>
        </w:rPr>
        <w:t xml:space="preserve"> with the Grocery Manufacturers Association and the Wine Regulators Forum as stakeholders,</w:t>
      </w:r>
      <w:r w:rsidRPr="00122C48">
        <w:rPr>
          <w:rFonts w:cs="Arial"/>
          <w:sz w:val="22"/>
        </w:rPr>
        <w:t xml:space="preserve"> </w:t>
      </w:r>
      <w:r>
        <w:rPr>
          <w:rFonts w:cs="Arial"/>
          <w:sz w:val="22"/>
        </w:rPr>
        <w:t>was established.</w:t>
      </w:r>
      <w:r w:rsidRPr="00122C48">
        <w:rPr>
          <w:rFonts w:cs="Arial"/>
          <w:sz w:val="22"/>
        </w:rPr>
        <w:t xml:space="preserve"> </w:t>
      </w:r>
    </w:p>
    <w:p w:rsidR="00514E73" w:rsidRDefault="00514E73" w:rsidP="007E644D">
      <w:pPr>
        <w:pStyle w:val="APECForm"/>
        <w:spacing w:before="0" w:after="0" w:line="240" w:lineRule="auto"/>
        <w:rPr>
          <w:rFonts w:cs="Arial"/>
          <w:sz w:val="22"/>
        </w:rPr>
      </w:pPr>
    </w:p>
    <w:p w:rsidR="00514E73" w:rsidRPr="00D05DCA" w:rsidRDefault="00514E73" w:rsidP="00514E73">
      <w:pPr>
        <w:pStyle w:val="APECForm"/>
        <w:spacing w:before="0" w:after="0" w:line="240" w:lineRule="auto"/>
        <w:rPr>
          <w:rFonts w:cs="Arial"/>
          <w:sz w:val="22"/>
          <w:lang w:val="en-AU"/>
        </w:rPr>
      </w:pPr>
      <w:r w:rsidRPr="00F40D27">
        <w:rPr>
          <w:rFonts w:cs="Arial"/>
          <w:sz w:val="22"/>
        </w:rPr>
        <w:t>In June 2014</w:t>
      </w:r>
      <w:r>
        <w:rPr>
          <w:rFonts w:cs="Arial"/>
          <w:sz w:val="22"/>
        </w:rPr>
        <w:t>,</w:t>
      </w:r>
      <w:r w:rsidRPr="00F40D27">
        <w:rPr>
          <w:rFonts w:cs="Arial"/>
          <w:sz w:val="22"/>
        </w:rPr>
        <w:t xml:space="preserve"> the </w:t>
      </w:r>
      <w:r>
        <w:rPr>
          <w:rFonts w:cs="Arial"/>
          <w:sz w:val="22"/>
        </w:rPr>
        <w:t xml:space="preserve">FCSF </w:t>
      </w:r>
      <w:r w:rsidRPr="00F40D27">
        <w:rPr>
          <w:rFonts w:cs="Arial"/>
          <w:sz w:val="22"/>
        </w:rPr>
        <w:t xml:space="preserve">Secretariat circulated the </w:t>
      </w:r>
      <w:r>
        <w:rPr>
          <w:rFonts w:cs="Arial"/>
          <w:sz w:val="22"/>
        </w:rPr>
        <w:t>final</w:t>
      </w:r>
      <w:r w:rsidRPr="00F40D27">
        <w:rPr>
          <w:rFonts w:cs="Arial"/>
          <w:sz w:val="22"/>
        </w:rPr>
        <w:t xml:space="preserve"> MRLs Roadmap </w:t>
      </w:r>
      <w:r>
        <w:rPr>
          <w:rFonts w:cs="Arial"/>
          <w:sz w:val="22"/>
        </w:rPr>
        <w:t>document which</w:t>
      </w:r>
      <w:r w:rsidRPr="00F40D27">
        <w:rPr>
          <w:rFonts w:cs="Arial"/>
          <w:sz w:val="22"/>
        </w:rPr>
        <w:t xml:space="preserve"> </w:t>
      </w:r>
      <w:r>
        <w:rPr>
          <w:rFonts w:cs="Arial"/>
          <w:sz w:val="22"/>
        </w:rPr>
        <w:t xml:space="preserve">detailed the objective of </w:t>
      </w:r>
      <w:r w:rsidR="001D5D43">
        <w:rPr>
          <w:rFonts w:cs="Arial"/>
          <w:sz w:val="22"/>
        </w:rPr>
        <w:t>the</w:t>
      </w:r>
      <w:r>
        <w:rPr>
          <w:rFonts w:cs="Arial"/>
          <w:sz w:val="22"/>
        </w:rPr>
        <w:t xml:space="preserve"> two year plan to facilitate harmonisation of pesticide MRL</w:t>
      </w:r>
      <w:r w:rsidR="005621A8">
        <w:rPr>
          <w:rFonts w:cs="Arial"/>
          <w:sz w:val="22"/>
        </w:rPr>
        <w:t>s between APEC member economies.</w:t>
      </w:r>
      <w:r>
        <w:rPr>
          <w:rFonts w:cs="Arial"/>
          <w:sz w:val="22"/>
        </w:rPr>
        <w:t xml:space="preserve"> </w:t>
      </w:r>
      <w:r w:rsidR="005621A8">
        <w:rPr>
          <w:rFonts w:cs="Arial"/>
          <w:sz w:val="22"/>
        </w:rPr>
        <w:t>The</w:t>
      </w:r>
      <w:r>
        <w:rPr>
          <w:rFonts w:cs="Arial"/>
          <w:sz w:val="22"/>
        </w:rPr>
        <w:t xml:space="preserve"> </w:t>
      </w:r>
      <w:r w:rsidR="005621A8">
        <w:rPr>
          <w:rFonts w:cs="Arial"/>
          <w:sz w:val="22"/>
        </w:rPr>
        <w:t>focus was</w:t>
      </w:r>
      <w:r>
        <w:rPr>
          <w:rFonts w:cs="Arial"/>
          <w:sz w:val="22"/>
        </w:rPr>
        <w:t xml:space="preserve"> on pesticide</w:t>
      </w:r>
      <w:r w:rsidR="00D05DCA">
        <w:rPr>
          <w:rFonts w:cs="Arial"/>
          <w:sz w:val="22"/>
        </w:rPr>
        <w:t xml:space="preserve"> MRLs for wine grapes and wine. </w:t>
      </w:r>
      <w:r>
        <w:rPr>
          <w:rFonts w:cs="Arial"/>
          <w:sz w:val="22"/>
        </w:rPr>
        <w:t xml:space="preserve">The document also proposed four broad principles for consideration by members, </w:t>
      </w:r>
      <w:r w:rsidRPr="00F27AF5">
        <w:rPr>
          <w:rFonts w:cs="Arial"/>
          <w:sz w:val="22"/>
        </w:rPr>
        <w:t>as the way forward</w:t>
      </w:r>
      <w:r w:rsidRPr="005A2E9B">
        <w:rPr>
          <w:rFonts w:cs="Arial"/>
          <w:color w:val="FF0000"/>
          <w:sz w:val="22"/>
        </w:rPr>
        <w:t xml:space="preserve"> </w:t>
      </w:r>
      <w:r>
        <w:rPr>
          <w:rFonts w:cs="Arial"/>
          <w:sz w:val="22"/>
        </w:rPr>
        <w:t xml:space="preserve">to facilitate harmonisation of MRL Standards. </w:t>
      </w:r>
      <w:r w:rsidR="00D05DCA">
        <w:rPr>
          <w:rFonts w:cs="Arial"/>
          <w:sz w:val="22"/>
          <w:lang w:val="en-AU"/>
        </w:rPr>
        <w:t>There were no</w:t>
      </w:r>
      <w:r w:rsidR="00D05DCA" w:rsidRPr="00D05DCA">
        <w:rPr>
          <w:rFonts w:cs="Arial"/>
          <w:sz w:val="22"/>
          <w:lang w:val="en-AU"/>
        </w:rPr>
        <w:t xml:space="preserve"> comments </w:t>
      </w:r>
      <w:r w:rsidR="00D05DCA">
        <w:rPr>
          <w:rFonts w:cs="Arial"/>
          <w:sz w:val="22"/>
          <w:lang w:val="en-AU"/>
        </w:rPr>
        <w:t xml:space="preserve">from members </w:t>
      </w:r>
      <w:r w:rsidR="00D05DCA" w:rsidRPr="00D05DCA">
        <w:rPr>
          <w:rFonts w:cs="Arial"/>
          <w:sz w:val="22"/>
          <w:lang w:val="en-AU"/>
        </w:rPr>
        <w:t>to vary any of the issues presented</w:t>
      </w:r>
      <w:r w:rsidR="00D05DCA">
        <w:rPr>
          <w:rFonts w:cs="Arial"/>
          <w:sz w:val="22"/>
          <w:lang w:val="en-AU"/>
        </w:rPr>
        <w:t xml:space="preserve"> </w:t>
      </w:r>
      <w:r w:rsidR="005621A8">
        <w:rPr>
          <w:rFonts w:cs="Arial"/>
          <w:sz w:val="22"/>
          <w:lang w:val="en-AU"/>
        </w:rPr>
        <w:t>in the Roadmap</w:t>
      </w:r>
      <w:r w:rsidR="003703F1">
        <w:rPr>
          <w:rFonts w:cs="Arial"/>
          <w:sz w:val="22"/>
          <w:lang w:val="en-AU"/>
        </w:rPr>
        <w:t xml:space="preserve"> and as a </w:t>
      </w:r>
      <w:r w:rsidR="00B44AB6">
        <w:rPr>
          <w:rFonts w:cs="Arial"/>
          <w:sz w:val="22"/>
          <w:lang w:val="en-AU"/>
        </w:rPr>
        <w:t>result,</w:t>
      </w:r>
      <w:r w:rsidR="00D05DCA">
        <w:rPr>
          <w:rFonts w:cs="Arial"/>
          <w:sz w:val="22"/>
          <w:lang w:val="en-AU"/>
        </w:rPr>
        <w:t xml:space="preserve"> the</w:t>
      </w:r>
      <w:r>
        <w:rPr>
          <w:rFonts w:cs="Arial"/>
          <w:sz w:val="22"/>
        </w:rPr>
        <w:t xml:space="preserve"> broad principles will be discussed and considered for endorsement at the current meeting. </w:t>
      </w:r>
    </w:p>
    <w:p w:rsidR="00514E73" w:rsidRDefault="00514E73" w:rsidP="007E644D">
      <w:pPr>
        <w:pStyle w:val="APECForm"/>
        <w:spacing w:before="0" w:after="0" w:line="240" w:lineRule="auto"/>
        <w:rPr>
          <w:rFonts w:cs="Arial"/>
          <w:sz w:val="22"/>
        </w:rPr>
      </w:pPr>
    </w:p>
    <w:p w:rsidR="00E30C4F" w:rsidRDefault="007E644D" w:rsidP="007E644D">
      <w:pPr>
        <w:pStyle w:val="APECForm"/>
        <w:spacing w:before="0" w:after="0" w:line="240" w:lineRule="auto"/>
        <w:rPr>
          <w:rFonts w:cs="Arial"/>
          <w:sz w:val="22"/>
        </w:rPr>
      </w:pPr>
      <w:r>
        <w:rPr>
          <w:rFonts w:cs="Arial"/>
          <w:sz w:val="22"/>
        </w:rPr>
        <w:t xml:space="preserve">The </w:t>
      </w:r>
      <w:r w:rsidR="00F27AF5">
        <w:rPr>
          <w:rFonts w:cs="Arial"/>
          <w:sz w:val="22"/>
        </w:rPr>
        <w:t>bulk</w:t>
      </w:r>
      <w:r>
        <w:rPr>
          <w:rFonts w:cs="Arial"/>
          <w:sz w:val="22"/>
        </w:rPr>
        <w:t xml:space="preserve"> of the group</w:t>
      </w:r>
      <w:r w:rsidR="00F27AF5">
        <w:rPr>
          <w:rFonts w:cs="Arial"/>
          <w:sz w:val="22"/>
        </w:rPr>
        <w:t>’s work has</w:t>
      </w:r>
      <w:r>
        <w:rPr>
          <w:rFonts w:cs="Arial"/>
          <w:sz w:val="22"/>
        </w:rPr>
        <w:t xml:space="preserve"> been </w:t>
      </w:r>
      <w:r w:rsidR="00F36F4F">
        <w:rPr>
          <w:rFonts w:cs="Arial"/>
          <w:sz w:val="22"/>
        </w:rPr>
        <w:t xml:space="preserve">progressed </w:t>
      </w:r>
      <w:r>
        <w:rPr>
          <w:rFonts w:cs="Arial"/>
          <w:sz w:val="22"/>
        </w:rPr>
        <w:t xml:space="preserve">out-of-session with a meeting held in May 2014 to advance the wine </w:t>
      </w:r>
      <w:r w:rsidR="00831526">
        <w:rPr>
          <w:rFonts w:cs="Arial"/>
          <w:sz w:val="22"/>
        </w:rPr>
        <w:t xml:space="preserve">MRL </w:t>
      </w:r>
      <w:r>
        <w:rPr>
          <w:rFonts w:cs="Arial"/>
          <w:sz w:val="22"/>
        </w:rPr>
        <w:t>case stud</w:t>
      </w:r>
      <w:r w:rsidR="00831526">
        <w:rPr>
          <w:rFonts w:cs="Arial"/>
          <w:sz w:val="22"/>
        </w:rPr>
        <w:t>y</w:t>
      </w:r>
      <w:r>
        <w:rPr>
          <w:rFonts w:cs="Arial"/>
          <w:sz w:val="22"/>
        </w:rPr>
        <w:t xml:space="preserve"> </w:t>
      </w:r>
      <w:r w:rsidR="008816CD">
        <w:rPr>
          <w:rFonts w:cs="Arial"/>
          <w:sz w:val="22"/>
        </w:rPr>
        <w:t xml:space="preserve">(undertaken by the Technical Working Group of the </w:t>
      </w:r>
      <w:r w:rsidR="008D5F6F">
        <w:rPr>
          <w:rFonts w:cs="Arial"/>
          <w:sz w:val="22"/>
        </w:rPr>
        <w:t>Wine Regulatory Forum</w:t>
      </w:r>
      <w:r w:rsidR="008816CD">
        <w:rPr>
          <w:rFonts w:cs="Arial"/>
          <w:sz w:val="22"/>
        </w:rPr>
        <w:t xml:space="preserve">) </w:t>
      </w:r>
      <w:r>
        <w:rPr>
          <w:rFonts w:cs="Arial"/>
          <w:sz w:val="22"/>
        </w:rPr>
        <w:t xml:space="preserve">and another </w:t>
      </w:r>
      <w:r w:rsidR="00831526">
        <w:rPr>
          <w:rFonts w:cs="Arial"/>
          <w:sz w:val="22"/>
        </w:rPr>
        <w:t xml:space="preserve">meeting </w:t>
      </w:r>
      <w:r>
        <w:rPr>
          <w:rFonts w:cs="Arial"/>
          <w:sz w:val="22"/>
        </w:rPr>
        <w:t>held in June 2014</w:t>
      </w:r>
      <w:r w:rsidR="00F27AF5">
        <w:rPr>
          <w:rFonts w:cs="Arial"/>
          <w:sz w:val="22"/>
        </w:rPr>
        <w:t xml:space="preserve"> </w:t>
      </w:r>
      <w:r>
        <w:rPr>
          <w:rFonts w:cs="Arial"/>
          <w:sz w:val="22"/>
        </w:rPr>
        <w:t xml:space="preserve">to prioritise the work schedule </w:t>
      </w:r>
      <w:r w:rsidR="00831526">
        <w:rPr>
          <w:rFonts w:cs="Arial"/>
          <w:sz w:val="22"/>
        </w:rPr>
        <w:t>for</w:t>
      </w:r>
      <w:r>
        <w:rPr>
          <w:rFonts w:cs="Arial"/>
          <w:sz w:val="22"/>
        </w:rPr>
        <w:t xml:space="preserve"> the </w:t>
      </w:r>
      <w:r w:rsidR="008D5F6F">
        <w:rPr>
          <w:rFonts w:cs="Arial"/>
          <w:sz w:val="22"/>
        </w:rPr>
        <w:t xml:space="preserve">APEC FSCF </w:t>
      </w:r>
      <w:r>
        <w:rPr>
          <w:rFonts w:cs="Arial"/>
          <w:sz w:val="22"/>
        </w:rPr>
        <w:t>pilot project</w:t>
      </w:r>
      <w:r w:rsidR="008D5F6F">
        <w:rPr>
          <w:rFonts w:cs="Arial"/>
          <w:sz w:val="22"/>
        </w:rPr>
        <w:t xml:space="preserve"> on MRLs for wine grapes and wine</w:t>
      </w:r>
      <w:r>
        <w:rPr>
          <w:rFonts w:cs="Arial"/>
          <w:sz w:val="22"/>
        </w:rPr>
        <w:t>.</w:t>
      </w:r>
      <w:r w:rsidR="00831526">
        <w:rPr>
          <w:rFonts w:cs="Arial"/>
          <w:sz w:val="22"/>
        </w:rPr>
        <w:t xml:space="preserve"> </w:t>
      </w:r>
    </w:p>
    <w:p w:rsidR="00D6045E" w:rsidRDefault="00D6045E" w:rsidP="007E644D">
      <w:pPr>
        <w:pStyle w:val="APECForm"/>
        <w:spacing w:before="0" w:after="0" w:line="240" w:lineRule="auto"/>
        <w:rPr>
          <w:rFonts w:cs="Arial"/>
          <w:sz w:val="22"/>
        </w:rPr>
      </w:pPr>
    </w:p>
    <w:p w:rsidR="00015239" w:rsidRPr="002C112C" w:rsidRDefault="003E78DA" w:rsidP="007E644D">
      <w:pPr>
        <w:pStyle w:val="APECForm"/>
        <w:spacing w:before="0" w:after="0" w:line="240" w:lineRule="auto"/>
        <w:rPr>
          <w:rFonts w:cs="Arial"/>
          <w:i/>
          <w:sz w:val="22"/>
        </w:rPr>
      </w:pPr>
      <w:r w:rsidRPr="002C112C">
        <w:rPr>
          <w:rFonts w:cs="Arial"/>
          <w:i/>
          <w:sz w:val="22"/>
        </w:rPr>
        <w:t>Activities</w:t>
      </w:r>
      <w:r w:rsidR="0084139E" w:rsidRPr="002C112C">
        <w:rPr>
          <w:rFonts w:cs="Arial"/>
          <w:i/>
          <w:sz w:val="22"/>
        </w:rPr>
        <w:t xml:space="preserve"> </w:t>
      </w:r>
      <w:r w:rsidRPr="002C112C">
        <w:rPr>
          <w:rFonts w:cs="Arial"/>
          <w:i/>
          <w:sz w:val="22"/>
        </w:rPr>
        <w:t>by</w:t>
      </w:r>
      <w:r w:rsidR="0084139E" w:rsidRPr="002C112C">
        <w:rPr>
          <w:rFonts w:cs="Arial"/>
          <w:i/>
          <w:sz w:val="22"/>
        </w:rPr>
        <w:t xml:space="preserve"> the wine regulatory forum</w:t>
      </w:r>
    </w:p>
    <w:p w:rsidR="007E644D" w:rsidRDefault="007E644D" w:rsidP="007E644D">
      <w:pPr>
        <w:pStyle w:val="APECForm"/>
        <w:spacing w:before="0" w:after="0" w:line="240" w:lineRule="auto"/>
        <w:rPr>
          <w:rFonts w:cs="Arial"/>
          <w:sz w:val="22"/>
        </w:rPr>
      </w:pPr>
    </w:p>
    <w:p w:rsidR="00DF6137" w:rsidRDefault="00DF6137" w:rsidP="00DF6137">
      <w:pPr>
        <w:pStyle w:val="APECForm"/>
        <w:spacing w:before="0" w:after="0" w:line="240" w:lineRule="auto"/>
        <w:rPr>
          <w:rFonts w:cs="Arial"/>
          <w:sz w:val="22"/>
        </w:rPr>
      </w:pPr>
      <w:r>
        <w:rPr>
          <w:rFonts w:cs="Arial"/>
          <w:sz w:val="22"/>
        </w:rPr>
        <w:t xml:space="preserve">The overall objective of the first pilot project is to </w:t>
      </w:r>
      <w:r w:rsidRPr="00997B86">
        <w:rPr>
          <w:rFonts w:cs="Arial"/>
          <w:sz w:val="22"/>
        </w:rPr>
        <w:t xml:space="preserve">achieve harmonisation of </w:t>
      </w:r>
      <w:r>
        <w:rPr>
          <w:rFonts w:cs="Arial"/>
          <w:sz w:val="22"/>
        </w:rPr>
        <w:t>pesticide MRLs for wine grapes and wine among APEC member economies</w:t>
      </w:r>
      <w:r w:rsidRPr="00997B86">
        <w:rPr>
          <w:rFonts w:cs="Arial"/>
          <w:sz w:val="22"/>
        </w:rPr>
        <w:t xml:space="preserve"> where feasible and consisten</w:t>
      </w:r>
      <w:r>
        <w:rPr>
          <w:rFonts w:cs="Arial"/>
          <w:sz w:val="22"/>
        </w:rPr>
        <w:t>t with domestic law. In support of this objective</w:t>
      </w:r>
      <w:r w:rsidR="0092145C">
        <w:rPr>
          <w:rFonts w:cs="Arial"/>
          <w:sz w:val="22"/>
        </w:rPr>
        <w:t>,</w:t>
      </w:r>
      <w:r>
        <w:rPr>
          <w:rFonts w:cs="Arial"/>
          <w:sz w:val="22"/>
        </w:rPr>
        <w:t xml:space="preserve"> the APEC Wine Regulatory Forum Working Group has undertaken preliminary work in the areas of: </w:t>
      </w:r>
    </w:p>
    <w:p w:rsidR="00DF6137" w:rsidRDefault="00DF6137" w:rsidP="00DF6137">
      <w:pPr>
        <w:pStyle w:val="APECForm"/>
        <w:spacing w:before="0" w:after="0" w:line="240" w:lineRule="auto"/>
        <w:rPr>
          <w:rFonts w:cs="Arial"/>
          <w:sz w:val="22"/>
        </w:rPr>
      </w:pPr>
    </w:p>
    <w:p w:rsidR="00DF6137" w:rsidRPr="00FD014D" w:rsidRDefault="00DF6137" w:rsidP="00151E7A">
      <w:pPr>
        <w:pStyle w:val="APECForm"/>
        <w:numPr>
          <w:ilvl w:val="0"/>
          <w:numId w:val="10"/>
        </w:numPr>
        <w:spacing w:before="0" w:after="0" w:line="240" w:lineRule="auto"/>
        <w:ind w:left="357" w:hanging="357"/>
        <w:rPr>
          <w:rFonts w:cs="Arial"/>
          <w:sz w:val="22"/>
        </w:rPr>
      </w:pPr>
      <w:r w:rsidRPr="00FD014D">
        <w:rPr>
          <w:rFonts w:cs="Arial"/>
          <w:sz w:val="22"/>
        </w:rPr>
        <w:t>Identifying agrichemicals where MRL policy has the potential to disrupt trade</w:t>
      </w:r>
      <w:r w:rsidR="00FD014D" w:rsidRPr="00FD014D">
        <w:rPr>
          <w:rFonts w:cs="Arial"/>
          <w:sz w:val="22"/>
        </w:rPr>
        <w:t>, including</w:t>
      </w:r>
      <w:r w:rsidRPr="00FD014D">
        <w:rPr>
          <w:rFonts w:cs="Arial"/>
          <w:sz w:val="22"/>
        </w:rPr>
        <w:t xml:space="preserve"> undertak</w:t>
      </w:r>
      <w:r w:rsidR="00FD014D" w:rsidRPr="00FD014D">
        <w:rPr>
          <w:rFonts w:cs="Arial"/>
          <w:sz w:val="22"/>
        </w:rPr>
        <w:t>ing</w:t>
      </w:r>
      <w:r w:rsidRPr="00FD014D">
        <w:rPr>
          <w:rFonts w:cs="Arial"/>
          <w:sz w:val="22"/>
        </w:rPr>
        <w:t xml:space="preserve"> three case studies to </w:t>
      </w:r>
      <w:r w:rsidR="00FD014D" w:rsidRPr="00FD014D">
        <w:rPr>
          <w:rFonts w:cs="Arial"/>
          <w:sz w:val="22"/>
        </w:rPr>
        <w:t>develop</w:t>
      </w:r>
      <w:r w:rsidRPr="00FD014D">
        <w:rPr>
          <w:rFonts w:cs="Arial"/>
          <w:sz w:val="22"/>
        </w:rPr>
        <w:t xml:space="preserve"> opt</w:t>
      </w:r>
      <w:r w:rsidR="00585DB2">
        <w:rPr>
          <w:rFonts w:cs="Arial"/>
          <w:sz w:val="22"/>
        </w:rPr>
        <w:t>ions for resolving these issues</w:t>
      </w:r>
    </w:p>
    <w:p w:rsidR="007A6194" w:rsidRDefault="003E78DA" w:rsidP="00151E7A">
      <w:pPr>
        <w:pStyle w:val="APECForm"/>
        <w:numPr>
          <w:ilvl w:val="0"/>
          <w:numId w:val="10"/>
        </w:numPr>
        <w:spacing w:before="0" w:after="0" w:line="240" w:lineRule="auto"/>
        <w:ind w:left="357" w:hanging="357"/>
        <w:rPr>
          <w:rFonts w:cs="Arial"/>
          <w:sz w:val="22"/>
        </w:rPr>
      </w:pPr>
      <w:r>
        <w:rPr>
          <w:rFonts w:cs="Arial"/>
          <w:sz w:val="22"/>
        </w:rPr>
        <w:t>Undertaking an exercise in e</w:t>
      </w:r>
      <w:r w:rsidR="007A6194">
        <w:rPr>
          <w:rFonts w:cs="Arial"/>
          <w:sz w:val="22"/>
        </w:rPr>
        <w:t xml:space="preserve">nhanced risk controls that relate </w:t>
      </w:r>
      <w:r>
        <w:rPr>
          <w:rFonts w:cs="Arial"/>
          <w:sz w:val="22"/>
        </w:rPr>
        <w:t>to labo</w:t>
      </w:r>
      <w:r w:rsidR="007A6194">
        <w:rPr>
          <w:rFonts w:cs="Arial"/>
          <w:sz w:val="22"/>
        </w:rPr>
        <w:t>rato</w:t>
      </w:r>
      <w:r>
        <w:rPr>
          <w:rFonts w:cs="Arial"/>
          <w:sz w:val="22"/>
        </w:rPr>
        <w:t>ry capabilities and technical ex</w:t>
      </w:r>
      <w:r w:rsidR="007A6194">
        <w:rPr>
          <w:rFonts w:cs="Arial"/>
          <w:sz w:val="22"/>
        </w:rPr>
        <w:t>pertise</w:t>
      </w:r>
    </w:p>
    <w:p w:rsidR="007A6194" w:rsidRDefault="003E78DA" w:rsidP="00151E7A">
      <w:pPr>
        <w:pStyle w:val="APECForm"/>
        <w:numPr>
          <w:ilvl w:val="0"/>
          <w:numId w:val="10"/>
        </w:numPr>
        <w:spacing w:before="0" w:after="0" w:line="240" w:lineRule="auto"/>
        <w:ind w:left="357" w:hanging="357"/>
        <w:rPr>
          <w:rFonts w:cs="Arial"/>
          <w:sz w:val="22"/>
        </w:rPr>
      </w:pPr>
      <w:r>
        <w:rPr>
          <w:rFonts w:cs="Arial"/>
          <w:sz w:val="22"/>
        </w:rPr>
        <w:t>Compiling a compendium of</w:t>
      </w:r>
      <w:r w:rsidR="007A6194">
        <w:rPr>
          <w:rFonts w:cs="Arial"/>
          <w:sz w:val="22"/>
        </w:rPr>
        <w:t xml:space="preserve"> </w:t>
      </w:r>
      <w:r w:rsidR="00A470A2">
        <w:rPr>
          <w:rFonts w:cs="Arial"/>
          <w:sz w:val="22"/>
        </w:rPr>
        <w:t>wine regulation databases</w:t>
      </w:r>
    </w:p>
    <w:p w:rsidR="003E78DA" w:rsidRDefault="003E78DA" w:rsidP="00151E7A">
      <w:pPr>
        <w:pStyle w:val="APECForm"/>
        <w:numPr>
          <w:ilvl w:val="0"/>
          <w:numId w:val="10"/>
        </w:numPr>
        <w:spacing w:before="0" w:after="0" w:line="240" w:lineRule="auto"/>
        <w:ind w:left="357" w:hanging="357"/>
        <w:rPr>
          <w:rFonts w:cs="Arial"/>
          <w:sz w:val="22"/>
        </w:rPr>
      </w:pPr>
      <w:r w:rsidRPr="008B3D76">
        <w:rPr>
          <w:rFonts w:cs="Arial"/>
          <w:sz w:val="22"/>
        </w:rPr>
        <w:t xml:space="preserve">Assessing the costs of differing MRLs </w:t>
      </w:r>
      <w:r>
        <w:rPr>
          <w:rFonts w:cs="Arial"/>
          <w:sz w:val="22"/>
        </w:rPr>
        <w:t xml:space="preserve">for wine grapes and wine </w:t>
      </w:r>
      <w:r w:rsidRPr="008B3D76">
        <w:rPr>
          <w:rFonts w:cs="Arial"/>
          <w:sz w:val="22"/>
        </w:rPr>
        <w:t>in the APEC region</w:t>
      </w:r>
      <w:r>
        <w:rPr>
          <w:rFonts w:cs="Arial"/>
          <w:sz w:val="22"/>
        </w:rPr>
        <w:t>.</w:t>
      </w:r>
    </w:p>
    <w:p w:rsidR="00A470A2" w:rsidRDefault="00A470A2" w:rsidP="00A470A2">
      <w:pPr>
        <w:pStyle w:val="APECForm"/>
        <w:spacing w:before="0" w:after="0" w:line="240" w:lineRule="auto"/>
        <w:rPr>
          <w:rFonts w:cs="Arial"/>
          <w:sz w:val="22"/>
        </w:rPr>
      </w:pPr>
    </w:p>
    <w:p w:rsidR="00A470A2" w:rsidRPr="00DF6137" w:rsidRDefault="00A470A2" w:rsidP="00A470A2">
      <w:pPr>
        <w:pStyle w:val="APECForm"/>
        <w:spacing w:before="0" w:after="0" w:line="240" w:lineRule="auto"/>
        <w:rPr>
          <w:rFonts w:cs="Arial"/>
          <w:sz w:val="22"/>
        </w:rPr>
      </w:pPr>
      <w:r>
        <w:rPr>
          <w:rFonts w:cs="Arial"/>
          <w:sz w:val="22"/>
        </w:rPr>
        <w:t xml:space="preserve">Detailed reports on these areas of MRL harmonisation work </w:t>
      </w:r>
      <w:r w:rsidR="00B44AB6">
        <w:rPr>
          <w:rFonts w:cs="Arial"/>
          <w:sz w:val="22"/>
        </w:rPr>
        <w:t>will be presented</w:t>
      </w:r>
      <w:r>
        <w:rPr>
          <w:rFonts w:cs="Arial"/>
          <w:sz w:val="22"/>
        </w:rPr>
        <w:t xml:space="preserve"> at </w:t>
      </w:r>
      <w:r w:rsidR="003E78DA">
        <w:rPr>
          <w:rFonts w:cs="Arial"/>
          <w:sz w:val="22"/>
        </w:rPr>
        <w:t>different</w:t>
      </w:r>
      <w:r>
        <w:rPr>
          <w:rFonts w:cs="Arial"/>
          <w:sz w:val="22"/>
        </w:rPr>
        <w:t xml:space="preserve"> sessions </w:t>
      </w:r>
      <w:r w:rsidR="003E78DA">
        <w:rPr>
          <w:rFonts w:cs="Arial"/>
          <w:sz w:val="22"/>
        </w:rPr>
        <w:t>of this forum.</w:t>
      </w:r>
    </w:p>
    <w:p w:rsidR="004F580E" w:rsidRDefault="004F580E" w:rsidP="004F580E"/>
    <w:p w:rsidR="00F27AF5" w:rsidRDefault="00F27AF5" w:rsidP="004F580E">
      <w:pPr>
        <w:rPr>
          <w:rFonts w:cs="Arial"/>
          <w:b/>
        </w:rPr>
      </w:pPr>
    </w:p>
    <w:p w:rsidR="00737799" w:rsidRPr="00F2349F" w:rsidRDefault="007D087F" w:rsidP="00151E7A">
      <w:pPr>
        <w:pStyle w:val="ListParagraph"/>
        <w:numPr>
          <w:ilvl w:val="0"/>
          <w:numId w:val="12"/>
        </w:numPr>
        <w:rPr>
          <w:rFonts w:cs="Arial"/>
          <w:b/>
          <w:i/>
        </w:rPr>
      </w:pPr>
      <w:r w:rsidRPr="00F2349F">
        <w:rPr>
          <w:rFonts w:cs="Arial"/>
          <w:b/>
          <w:i/>
        </w:rPr>
        <w:t>Proposed actions</w:t>
      </w:r>
      <w:r w:rsidR="00737799" w:rsidRPr="00F2349F">
        <w:rPr>
          <w:rFonts w:cs="Arial"/>
          <w:b/>
          <w:i/>
        </w:rPr>
        <w:t xml:space="preserve"> to </w:t>
      </w:r>
      <w:r w:rsidR="00831526" w:rsidRPr="00F2349F">
        <w:rPr>
          <w:rFonts w:cs="Arial"/>
          <w:b/>
          <w:i/>
        </w:rPr>
        <w:t xml:space="preserve">progress </w:t>
      </w:r>
      <w:r w:rsidR="00737799" w:rsidRPr="00F2349F">
        <w:rPr>
          <w:rFonts w:cs="Arial"/>
          <w:b/>
          <w:i/>
        </w:rPr>
        <w:t>the MRL harmonisation plan</w:t>
      </w:r>
    </w:p>
    <w:p w:rsidR="00737799" w:rsidRDefault="00737799" w:rsidP="004F580E">
      <w:pPr>
        <w:rPr>
          <w:rFonts w:cs="Arial"/>
        </w:rPr>
      </w:pPr>
    </w:p>
    <w:p w:rsidR="009F7D76" w:rsidRPr="00F2349F" w:rsidRDefault="00500E4F" w:rsidP="00633E57">
      <w:pPr>
        <w:rPr>
          <w:rFonts w:cs="Arial"/>
          <w:b/>
        </w:rPr>
      </w:pPr>
      <w:r w:rsidRPr="00F2349F">
        <w:rPr>
          <w:rFonts w:cs="Arial"/>
          <w:b/>
        </w:rPr>
        <w:t xml:space="preserve">Agreement and </w:t>
      </w:r>
      <w:r w:rsidR="00B10624" w:rsidRPr="00F2349F">
        <w:rPr>
          <w:rFonts w:cs="Arial"/>
          <w:b/>
        </w:rPr>
        <w:t xml:space="preserve">endorsement </w:t>
      </w:r>
      <w:r w:rsidRPr="00F2349F">
        <w:rPr>
          <w:rFonts w:cs="Arial"/>
          <w:b/>
        </w:rPr>
        <w:t xml:space="preserve">of the </w:t>
      </w:r>
      <w:r w:rsidR="00AB61DA" w:rsidRPr="00F2349F">
        <w:rPr>
          <w:rFonts w:cs="Arial"/>
          <w:b/>
        </w:rPr>
        <w:t xml:space="preserve">proposed </w:t>
      </w:r>
      <w:r w:rsidRPr="00F2349F">
        <w:rPr>
          <w:rFonts w:cs="Arial"/>
          <w:b/>
        </w:rPr>
        <w:t>Broad Principles</w:t>
      </w:r>
    </w:p>
    <w:p w:rsidR="004F580E" w:rsidRPr="009F7D76" w:rsidRDefault="00500E4F" w:rsidP="00633E57">
      <w:pPr>
        <w:rPr>
          <w:rFonts w:cs="Arial"/>
          <w:i/>
        </w:rPr>
      </w:pPr>
      <w:r w:rsidRPr="009F7D76">
        <w:rPr>
          <w:rFonts w:cs="Arial"/>
          <w:i/>
        </w:rPr>
        <w:t xml:space="preserve"> </w:t>
      </w:r>
    </w:p>
    <w:p w:rsidR="00500E4F" w:rsidRDefault="008963A9" w:rsidP="00500E4F">
      <w:pPr>
        <w:rPr>
          <w:rFonts w:cs="Arial"/>
        </w:rPr>
      </w:pPr>
      <w:r>
        <w:rPr>
          <w:rFonts w:cs="Arial"/>
        </w:rPr>
        <w:t xml:space="preserve">To facilitate the further progress of the MRLs harmonisation work, it is </w:t>
      </w:r>
      <w:r w:rsidR="00367E5B">
        <w:rPr>
          <w:rFonts w:cs="Arial"/>
        </w:rPr>
        <w:t xml:space="preserve">proposed </w:t>
      </w:r>
      <w:r>
        <w:rPr>
          <w:rFonts w:cs="Arial"/>
        </w:rPr>
        <w:t xml:space="preserve">that the following </w:t>
      </w:r>
      <w:r w:rsidR="003703F1">
        <w:rPr>
          <w:rFonts w:cs="Arial"/>
        </w:rPr>
        <w:t xml:space="preserve">broad </w:t>
      </w:r>
      <w:r w:rsidR="00500E4F">
        <w:rPr>
          <w:rFonts w:cs="Arial"/>
        </w:rPr>
        <w:t xml:space="preserve">principles </w:t>
      </w:r>
      <w:r w:rsidR="00B10624">
        <w:rPr>
          <w:rFonts w:cs="Arial"/>
        </w:rPr>
        <w:t xml:space="preserve">proposed in the Roadmap circulated to members in June 2014 </w:t>
      </w:r>
      <w:r>
        <w:rPr>
          <w:rFonts w:cs="Arial"/>
        </w:rPr>
        <w:t>be endorsed by members</w:t>
      </w:r>
      <w:r w:rsidR="00B10624">
        <w:rPr>
          <w:rFonts w:cs="Arial"/>
        </w:rPr>
        <w:t>.</w:t>
      </w:r>
      <w:r w:rsidR="00CB73AF">
        <w:rPr>
          <w:rFonts w:cs="Arial"/>
        </w:rPr>
        <w:t xml:space="preserve"> These principles have the two-</w:t>
      </w:r>
      <w:r w:rsidR="00B10624">
        <w:rPr>
          <w:rFonts w:cs="Arial"/>
        </w:rPr>
        <w:t xml:space="preserve">fold aim of being consistent with the contemporary </w:t>
      </w:r>
      <w:r w:rsidR="00997B86">
        <w:rPr>
          <w:rFonts w:cs="Arial"/>
        </w:rPr>
        <w:t xml:space="preserve">international approaches </w:t>
      </w:r>
      <w:r w:rsidR="006E7BA4">
        <w:rPr>
          <w:rFonts w:cs="Arial"/>
        </w:rPr>
        <w:t xml:space="preserve">of the Codex </w:t>
      </w:r>
      <w:proofErr w:type="spellStart"/>
      <w:r w:rsidR="006E7BA4">
        <w:rPr>
          <w:rFonts w:cs="Arial"/>
        </w:rPr>
        <w:t>Alimentarius</w:t>
      </w:r>
      <w:proofErr w:type="spellEnd"/>
      <w:r w:rsidR="006E7BA4">
        <w:rPr>
          <w:rFonts w:cs="Arial"/>
        </w:rPr>
        <w:t xml:space="preserve"> and providing a mechan</w:t>
      </w:r>
      <w:r w:rsidR="003703F1">
        <w:rPr>
          <w:rFonts w:cs="Arial"/>
        </w:rPr>
        <w:t>ism for regional harmonisation:</w:t>
      </w:r>
    </w:p>
    <w:p w:rsidR="006E7BA4" w:rsidRDefault="006E7BA4" w:rsidP="00500E4F">
      <w:pPr>
        <w:rPr>
          <w:rFonts w:cs="Arial"/>
        </w:rPr>
      </w:pPr>
    </w:p>
    <w:p w:rsidR="001902FE" w:rsidRDefault="00AB61DA" w:rsidP="00151E7A">
      <w:pPr>
        <w:pStyle w:val="ListParagraph"/>
        <w:numPr>
          <w:ilvl w:val="0"/>
          <w:numId w:val="7"/>
        </w:numPr>
        <w:ind w:left="357" w:hanging="357"/>
        <w:rPr>
          <w:rFonts w:cs="Arial"/>
          <w:lang w:val="en-AU"/>
        </w:rPr>
      </w:pPr>
      <w:r w:rsidRPr="001902FE">
        <w:rPr>
          <w:rFonts w:cs="Arial"/>
          <w:lang w:val="en-AU"/>
        </w:rPr>
        <w:t xml:space="preserve">Participation in development of Codex MRLs through involvement in </w:t>
      </w:r>
      <w:r w:rsidR="003703F1">
        <w:rPr>
          <w:rFonts w:cs="Arial"/>
          <w:lang w:val="en-AU"/>
        </w:rPr>
        <w:t xml:space="preserve">the </w:t>
      </w:r>
      <w:r w:rsidRPr="001902FE">
        <w:rPr>
          <w:rFonts w:cs="Arial"/>
          <w:lang w:val="en-AU"/>
        </w:rPr>
        <w:t>Codex Committee on Pesticide Residues (CCPR)</w:t>
      </w:r>
    </w:p>
    <w:p w:rsidR="001902FE" w:rsidRDefault="00AB61DA" w:rsidP="00151E7A">
      <w:pPr>
        <w:pStyle w:val="ListParagraph"/>
        <w:numPr>
          <w:ilvl w:val="0"/>
          <w:numId w:val="7"/>
        </w:numPr>
        <w:ind w:left="357" w:hanging="357"/>
        <w:rPr>
          <w:rFonts w:cs="Arial"/>
          <w:lang w:val="en-AU"/>
        </w:rPr>
      </w:pPr>
      <w:r w:rsidRPr="001902FE">
        <w:rPr>
          <w:rFonts w:cs="Arial"/>
          <w:lang w:val="en-AU"/>
        </w:rPr>
        <w:t>Adoption of Codex MRLs in domestic legislation and in trade</w:t>
      </w:r>
    </w:p>
    <w:p w:rsidR="001902FE" w:rsidRDefault="00AB61DA" w:rsidP="00151E7A">
      <w:pPr>
        <w:pStyle w:val="ListParagraph"/>
        <w:numPr>
          <w:ilvl w:val="0"/>
          <w:numId w:val="7"/>
        </w:numPr>
        <w:ind w:left="357" w:hanging="357"/>
        <w:rPr>
          <w:rFonts w:cs="Arial"/>
          <w:lang w:val="en-AU"/>
        </w:rPr>
      </w:pPr>
      <w:r w:rsidRPr="001902FE">
        <w:rPr>
          <w:rFonts w:cs="Arial"/>
          <w:lang w:val="en-AU"/>
        </w:rPr>
        <w:t xml:space="preserve">Exchange </w:t>
      </w:r>
      <w:r w:rsidR="00500E4F" w:rsidRPr="001902FE">
        <w:rPr>
          <w:rFonts w:cs="Arial"/>
          <w:lang w:val="en-AU"/>
        </w:rPr>
        <w:t xml:space="preserve">of </w:t>
      </w:r>
      <w:r w:rsidRPr="001902FE">
        <w:rPr>
          <w:rFonts w:cs="Arial"/>
          <w:lang w:val="en-AU"/>
        </w:rPr>
        <w:t xml:space="preserve">data or work-share to support establishment of pesticide MRLs by member economies, particularly if </w:t>
      </w:r>
      <w:r w:rsidR="008963A9">
        <w:rPr>
          <w:rFonts w:cs="Arial"/>
          <w:lang w:val="en-AU"/>
        </w:rPr>
        <w:t xml:space="preserve">there is </w:t>
      </w:r>
      <w:r w:rsidRPr="001902FE">
        <w:rPr>
          <w:rFonts w:cs="Arial"/>
          <w:lang w:val="en-AU"/>
        </w:rPr>
        <w:t>no equivalent domestic MRL</w:t>
      </w:r>
    </w:p>
    <w:p w:rsidR="00863C9C" w:rsidRPr="001902FE" w:rsidRDefault="00AB61DA" w:rsidP="00151E7A">
      <w:pPr>
        <w:pStyle w:val="ListParagraph"/>
        <w:numPr>
          <w:ilvl w:val="0"/>
          <w:numId w:val="7"/>
        </w:numPr>
        <w:ind w:left="357" w:hanging="357"/>
        <w:rPr>
          <w:rFonts w:cs="Arial"/>
          <w:lang w:val="en-AU"/>
        </w:rPr>
      </w:pPr>
      <w:r w:rsidRPr="001902FE">
        <w:rPr>
          <w:rFonts w:cs="Arial"/>
          <w:lang w:val="en-AU"/>
        </w:rPr>
        <w:t>Develop</w:t>
      </w:r>
      <w:r w:rsidR="001902FE">
        <w:rPr>
          <w:rFonts w:cs="Arial"/>
          <w:lang w:val="en-AU"/>
        </w:rPr>
        <w:t>ment of</w:t>
      </w:r>
      <w:r w:rsidRPr="001902FE">
        <w:rPr>
          <w:rFonts w:cs="Arial"/>
          <w:lang w:val="en-AU"/>
        </w:rPr>
        <w:t xml:space="preserve"> unilateral ‘recognition’ or ‘import tolerance’ on a case-by-case basis, where practical and appropriate to domestic regulation, for specific pesticide/commodity MRLs of trading partners.</w:t>
      </w:r>
    </w:p>
    <w:p w:rsidR="00500E4F" w:rsidRPr="00500E4F" w:rsidRDefault="00500E4F" w:rsidP="00500E4F">
      <w:pPr>
        <w:rPr>
          <w:rFonts w:cs="Arial"/>
        </w:rPr>
      </w:pPr>
    </w:p>
    <w:p w:rsidR="0084139E" w:rsidRDefault="0084139E" w:rsidP="0084139E">
      <w:pPr>
        <w:pStyle w:val="APECForm"/>
        <w:spacing w:before="0" w:after="0" w:line="240" w:lineRule="auto"/>
        <w:rPr>
          <w:rFonts w:cs="Arial"/>
          <w:sz w:val="22"/>
        </w:rPr>
      </w:pPr>
      <w:r>
        <w:rPr>
          <w:rFonts w:cs="Arial"/>
          <w:sz w:val="22"/>
        </w:rPr>
        <w:t>The general elements proposed in the Roadmap for the pilot program are:</w:t>
      </w:r>
    </w:p>
    <w:p w:rsidR="0084139E" w:rsidRDefault="0084139E" w:rsidP="00151E7A">
      <w:pPr>
        <w:pStyle w:val="APECForm"/>
        <w:numPr>
          <w:ilvl w:val="0"/>
          <w:numId w:val="9"/>
        </w:numPr>
        <w:spacing w:before="0" w:after="0" w:line="240" w:lineRule="auto"/>
        <w:ind w:left="357" w:hanging="357"/>
        <w:rPr>
          <w:rFonts w:cs="Arial"/>
          <w:sz w:val="22"/>
        </w:rPr>
      </w:pPr>
      <w:r>
        <w:rPr>
          <w:rFonts w:cs="Arial"/>
          <w:sz w:val="22"/>
        </w:rPr>
        <w:t xml:space="preserve">Recognition that pesticides are used differently among production </w:t>
      </w:r>
      <w:r w:rsidR="0092145C">
        <w:rPr>
          <w:rFonts w:cs="Arial"/>
          <w:sz w:val="22"/>
        </w:rPr>
        <w:t>member economies</w:t>
      </w:r>
      <w:r>
        <w:rPr>
          <w:rFonts w:cs="Arial"/>
          <w:sz w:val="22"/>
        </w:rPr>
        <w:t xml:space="preserve"> due to differences in product use patterns, pest/diseases and environmental factors.</w:t>
      </w:r>
    </w:p>
    <w:p w:rsidR="0084139E" w:rsidRDefault="0084139E" w:rsidP="00151E7A">
      <w:pPr>
        <w:pStyle w:val="APECForm"/>
        <w:numPr>
          <w:ilvl w:val="0"/>
          <w:numId w:val="9"/>
        </w:numPr>
        <w:spacing w:before="0" w:after="0" w:line="240" w:lineRule="auto"/>
        <w:ind w:left="357" w:hanging="357"/>
        <w:rPr>
          <w:rFonts w:cs="Arial"/>
          <w:sz w:val="22"/>
        </w:rPr>
      </w:pPr>
      <w:r>
        <w:rPr>
          <w:rFonts w:cs="Arial"/>
          <w:sz w:val="22"/>
        </w:rPr>
        <w:t xml:space="preserve">Adoption of Codex or </w:t>
      </w:r>
      <w:r w:rsidR="00FD014D">
        <w:rPr>
          <w:rFonts w:cs="Arial"/>
          <w:sz w:val="22"/>
        </w:rPr>
        <w:t xml:space="preserve">an </w:t>
      </w:r>
      <w:r>
        <w:rPr>
          <w:rFonts w:cs="Arial"/>
          <w:sz w:val="22"/>
        </w:rPr>
        <w:t>exporting member’s MRL by the importing economy, where there is no safety concerns relating to the diet of its population, and it is consistent with domestic law.</w:t>
      </w:r>
    </w:p>
    <w:p w:rsidR="0084139E" w:rsidRDefault="0084139E" w:rsidP="00151E7A">
      <w:pPr>
        <w:pStyle w:val="APECForm"/>
        <w:numPr>
          <w:ilvl w:val="0"/>
          <w:numId w:val="9"/>
        </w:numPr>
        <w:spacing w:before="0" w:after="0" w:line="240" w:lineRule="auto"/>
        <w:ind w:left="357" w:hanging="357"/>
        <w:rPr>
          <w:rFonts w:cs="Arial"/>
          <w:sz w:val="22"/>
        </w:rPr>
      </w:pPr>
      <w:r>
        <w:rPr>
          <w:rFonts w:cs="Arial"/>
          <w:sz w:val="22"/>
        </w:rPr>
        <w:t xml:space="preserve">Data exchange or work-share on future MRL developments among member economies to increase awareness and transparency. </w:t>
      </w:r>
    </w:p>
    <w:p w:rsidR="0084139E" w:rsidRDefault="0084139E" w:rsidP="00775DF3">
      <w:pPr>
        <w:rPr>
          <w:rFonts w:cs="Arial"/>
          <w:b/>
        </w:rPr>
      </w:pPr>
    </w:p>
    <w:p w:rsidR="003703F1" w:rsidRPr="00F2349F" w:rsidRDefault="00F25FD1" w:rsidP="00775DF3">
      <w:pPr>
        <w:rPr>
          <w:rFonts w:cs="Arial"/>
          <w:b/>
        </w:rPr>
      </w:pPr>
      <w:r w:rsidRPr="00F2349F">
        <w:rPr>
          <w:rFonts w:cs="Arial"/>
          <w:b/>
        </w:rPr>
        <w:t xml:space="preserve">Further proposed </w:t>
      </w:r>
      <w:r w:rsidR="003703F1" w:rsidRPr="00F2349F">
        <w:rPr>
          <w:rFonts w:cs="Arial"/>
          <w:b/>
        </w:rPr>
        <w:t>activities</w:t>
      </w:r>
    </w:p>
    <w:p w:rsidR="003703F1" w:rsidRPr="003703F1" w:rsidRDefault="003703F1" w:rsidP="00775DF3">
      <w:pPr>
        <w:rPr>
          <w:rFonts w:cs="Arial"/>
          <w:i/>
        </w:rPr>
      </w:pPr>
    </w:p>
    <w:p w:rsidR="00275B7C" w:rsidRDefault="00775DF3" w:rsidP="00775DF3">
      <w:pPr>
        <w:rPr>
          <w:rFonts w:cs="Arial"/>
        </w:rPr>
      </w:pPr>
      <w:r>
        <w:rPr>
          <w:rFonts w:cs="Arial"/>
        </w:rPr>
        <w:t xml:space="preserve">Subject to </w:t>
      </w:r>
      <w:r w:rsidR="00730352">
        <w:rPr>
          <w:rFonts w:cs="Arial"/>
        </w:rPr>
        <w:t xml:space="preserve">the </w:t>
      </w:r>
      <w:r w:rsidR="00AE1D20">
        <w:rPr>
          <w:rFonts w:cs="Arial"/>
        </w:rPr>
        <w:t>endorsement</w:t>
      </w:r>
      <w:r w:rsidR="00275B7C" w:rsidRPr="00775DF3">
        <w:rPr>
          <w:rFonts w:cs="Arial"/>
        </w:rPr>
        <w:t xml:space="preserve"> of the </w:t>
      </w:r>
      <w:r w:rsidR="004F580E" w:rsidRPr="00775DF3">
        <w:rPr>
          <w:rFonts w:cs="Arial"/>
        </w:rPr>
        <w:t xml:space="preserve">proposed broad principles </w:t>
      </w:r>
      <w:r>
        <w:rPr>
          <w:rFonts w:cs="Arial"/>
        </w:rPr>
        <w:t>for harmonisation of MRLs</w:t>
      </w:r>
      <w:r w:rsidR="00BF54E2">
        <w:rPr>
          <w:rFonts w:cs="Arial"/>
        </w:rPr>
        <w:t>,</w:t>
      </w:r>
      <w:r>
        <w:rPr>
          <w:rFonts w:cs="Arial"/>
        </w:rPr>
        <w:t xml:space="preserve"> </w:t>
      </w:r>
      <w:r w:rsidR="00275B7C" w:rsidRPr="00775DF3">
        <w:rPr>
          <w:rFonts w:cs="Arial"/>
        </w:rPr>
        <w:t xml:space="preserve">the </w:t>
      </w:r>
      <w:r>
        <w:rPr>
          <w:rFonts w:cs="Arial"/>
        </w:rPr>
        <w:t>activities</w:t>
      </w:r>
      <w:r w:rsidR="00761668">
        <w:rPr>
          <w:rFonts w:cs="Arial"/>
        </w:rPr>
        <w:t xml:space="preserve"> </w:t>
      </w:r>
      <w:r w:rsidR="00E34F6D">
        <w:rPr>
          <w:rFonts w:cs="Arial"/>
        </w:rPr>
        <w:t>listed below are propose</w:t>
      </w:r>
      <w:r w:rsidR="00A565FC">
        <w:rPr>
          <w:rFonts w:cs="Arial"/>
        </w:rPr>
        <w:t>d</w:t>
      </w:r>
      <w:r w:rsidR="00E34F6D">
        <w:rPr>
          <w:rFonts w:cs="Arial"/>
        </w:rPr>
        <w:t xml:space="preserve"> </w:t>
      </w:r>
      <w:r w:rsidR="00761668">
        <w:rPr>
          <w:rFonts w:cs="Arial"/>
        </w:rPr>
        <w:t>to progress the pilot project on wine grapes and wine</w:t>
      </w:r>
      <w:r w:rsidR="00BF54E2" w:rsidRPr="00BF54E2">
        <w:rPr>
          <w:rFonts w:cs="Arial"/>
        </w:rPr>
        <w:t xml:space="preserve"> </w:t>
      </w:r>
      <w:r w:rsidR="00BF54E2">
        <w:rPr>
          <w:rFonts w:cs="Arial"/>
        </w:rPr>
        <w:t>MRLs</w:t>
      </w:r>
      <w:r w:rsidR="00A565FC">
        <w:rPr>
          <w:rFonts w:cs="Arial"/>
        </w:rPr>
        <w:t>.</w:t>
      </w:r>
    </w:p>
    <w:p w:rsidR="00761668" w:rsidRDefault="00761668" w:rsidP="00775DF3">
      <w:pPr>
        <w:rPr>
          <w:rFonts w:cs="Arial"/>
        </w:rPr>
      </w:pPr>
    </w:p>
    <w:p w:rsidR="00F2349F" w:rsidRPr="00F2349F" w:rsidRDefault="00F2349F" w:rsidP="00775DF3">
      <w:pPr>
        <w:rPr>
          <w:rFonts w:cs="Arial"/>
          <w:i/>
        </w:rPr>
      </w:pPr>
      <w:r w:rsidRPr="00AE1D20">
        <w:rPr>
          <w:rFonts w:cs="Arial"/>
          <w:b/>
          <w:i/>
        </w:rPr>
        <w:t>Communication</w:t>
      </w:r>
      <w:r w:rsidR="00D61493">
        <w:rPr>
          <w:rFonts w:cs="Arial"/>
          <w:i/>
        </w:rPr>
        <w:t xml:space="preserve"> </w:t>
      </w:r>
      <w:r w:rsidR="009068BA">
        <w:rPr>
          <w:rFonts w:cs="Arial"/>
          <w:i/>
        </w:rPr>
        <w:t xml:space="preserve">- </w:t>
      </w:r>
      <w:r w:rsidR="00D61493">
        <w:rPr>
          <w:rFonts w:cs="Arial"/>
          <w:i/>
        </w:rPr>
        <w:t>linkage to Codex MRL setting process</w:t>
      </w:r>
    </w:p>
    <w:p w:rsidR="004F580E" w:rsidRPr="00275B7C" w:rsidRDefault="00275B7C" w:rsidP="00151E7A">
      <w:pPr>
        <w:pStyle w:val="ListParagraph"/>
        <w:numPr>
          <w:ilvl w:val="0"/>
          <w:numId w:val="6"/>
        </w:numPr>
        <w:ind w:left="357" w:hanging="357"/>
        <w:rPr>
          <w:rFonts w:cs="Arial"/>
        </w:rPr>
      </w:pPr>
      <w:r>
        <w:rPr>
          <w:rFonts w:cs="Arial"/>
        </w:rPr>
        <w:t xml:space="preserve">Initiate </w:t>
      </w:r>
      <w:r w:rsidR="004F580E" w:rsidRPr="00275B7C">
        <w:rPr>
          <w:rFonts w:cs="Arial"/>
        </w:rPr>
        <w:t>discussions between the SCSC and Trade Ministers</w:t>
      </w:r>
      <w:r>
        <w:rPr>
          <w:rFonts w:cs="Arial"/>
        </w:rPr>
        <w:t xml:space="preserve"> regarding the agreed broad principles</w:t>
      </w:r>
    </w:p>
    <w:p w:rsidR="004F580E" w:rsidRPr="006D1E54" w:rsidRDefault="00275B7C" w:rsidP="00151E7A">
      <w:pPr>
        <w:pStyle w:val="ListParagraph"/>
        <w:numPr>
          <w:ilvl w:val="0"/>
          <w:numId w:val="4"/>
        </w:numPr>
        <w:ind w:left="357" w:hanging="357"/>
        <w:rPr>
          <w:rFonts w:cs="Arial"/>
        </w:rPr>
      </w:pPr>
      <w:r>
        <w:rPr>
          <w:rFonts w:eastAsia="Times New Roman" w:cs="Arial"/>
          <w:lang w:eastAsia="en-GB"/>
        </w:rPr>
        <w:t>Establish a l</w:t>
      </w:r>
      <w:r w:rsidR="004F580E" w:rsidRPr="00275B7C">
        <w:rPr>
          <w:rFonts w:eastAsia="Times New Roman" w:cs="Arial"/>
          <w:lang w:eastAsia="en-GB"/>
        </w:rPr>
        <w:t>ink with the Codex Committee on Pesticide Residues (CCPR)</w:t>
      </w:r>
      <w:r>
        <w:rPr>
          <w:rFonts w:eastAsia="Times New Roman" w:cs="Arial"/>
          <w:lang w:eastAsia="en-GB"/>
        </w:rPr>
        <w:t xml:space="preserve"> through member economies ensuring t</w:t>
      </w:r>
      <w:r w:rsidR="004F580E" w:rsidRPr="00DA336F">
        <w:rPr>
          <w:rFonts w:eastAsia="Times New Roman" w:cs="Arial"/>
          <w:lang w:eastAsia="en-GB"/>
        </w:rPr>
        <w:t>hat the</w:t>
      </w:r>
      <w:r>
        <w:rPr>
          <w:rFonts w:eastAsia="Times New Roman" w:cs="Arial"/>
          <w:lang w:eastAsia="en-GB"/>
        </w:rPr>
        <w:t>y</w:t>
      </w:r>
      <w:r w:rsidR="004F580E" w:rsidRPr="00DA336F">
        <w:rPr>
          <w:rFonts w:eastAsia="Times New Roman" w:cs="Arial"/>
          <w:lang w:eastAsia="en-GB"/>
        </w:rPr>
        <w:t xml:space="preserve"> </w:t>
      </w:r>
      <w:r>
        <w:rPr>
          <w:rFonts w:eastAsia="Times New Roman" w:cs="Arial"/>
          <w:lang w:eastAsia="en-GB"/>
        </w:rPr>
        <w:t xml:space="preserve">identify and liaise with their economy’s </w:t>
      </w:r>
      <w:r w:rsidR="00775DF3">
        <w:rPr>
          <w:rFonts w:eastAsia="Times New Roman" w:cs="Arial"/>
          <w:lang w:eastAsia="en-GB"/>
        </w:rPr>
        <w:t xml:space="preserve">CCPR </w:t>
      </w:r>
      <w:r w:rsidR="00B6076F">
        <w:rPr>
          <w:rFonts w:eastAsia="Times New Roman" w:cs="Arial"/>
          <w:lang w:eastAsia="en-GB"/>
        </w:rPr>
        <w:t xml:space="preserve">delegate </w:t>
      </w:r>
      <w:r w:rsidR="00B6076F" w:rsidRPr="00DA336F">
        <w:rPr>
          <w:rFonts w:eastAsia="Times New Roman" w:cs="Arial"/>
          <w:lang w:eastAsia="en-GB"/>
        </w:rPr>
        <w:t>and</w:t>
      </w:r>
      <w:r w:rsidR="00896684">
        <w:rPr>
          <w:rFonts w:eastAsia="Times New Roman" w:cs="Arial"/>
          <w:lang w:eastAsia="en-GB"/>
        </w:rPr>
        <w:t xml:space="preserve"> </w:t>
      </w:r>
      <w:r w:rsidR="004F580E" w:rsidRPr="00DA336F">
        <w:rPr>
          <w:rFonts w:eastAsia="Times New Roman" w:cs="Arial"/>
          <w:lang w:eastAsia="en-GB"/>
        </w:rPr>
        <w:t xml:space="preserve">provide a list </w:t>
      </w:r>
      <w:r w:rsidR="00896684">
        <w:rPr>
          <w:rFonts w:eastAsia="Times New Roman" w:cs="Arial"/>
          <w:lang w:eastAsia="en-GB"/>
        </w:rPr>
        <w:t>to</w:t>
      </w:r>
      <w:r w:rsidR="004F580E" w:rsidRPr="00DA336F">
        <w:rPr>
          <w:rFonts w:eastAsia="Times New Roman" w:cs="Arial"/>
          <w:lang w:eastAsia="en-GB"/>
        </w:rPr>
        <w:t xml:space="preserve"> the FSCF</w:t>
      </w:r>
      <w:r w:rsidR="00896684">
        <w:rPr>
          <w:rFonts w:eastAsia="Times New Roman" w:cs="Arial"/>
          <w:lang w:eastAsia="en-GB"/>
        </w:rPr>
        <w:t xml:space="preserve"> Secretariat. </w:t>
      </w:r>
    </w:p>
    <w:p w:rsidR="006D1E54" w:rsidRDefault="006D1E54" w:rsidP="006D1E54">
      <w:pPr>
        <w:rPr>
          <w:rFonts w:cs="Arial"/>
        </w:rPr>
      </w:pPr>
    </w:p>
    <w:p w:rsidR="006D1E54" w:rsidRDefault="006D1E54" w:rsidP="006D1E54">
      <w:pPr>
        <w:rPr>
          <w:rFonts w:cs="Arial"/>
        </w:rPr>
      </w:pPr>
      <w:r w:rsidRPr="00D15795">
        <w:rPr>
          <w:rFonts w:cs="Arial"/>
          <w:i/>
        </w:rPr>
        <w:t>Anticipated outcome</w:t>
      </w:r>
      <w:r>
        <w:rPr>
          <w:rFonts w:cs="Arial"/>
        </w:rPr>
        <w:t>:</w:t>
      </w:r>
    </w:p>
    <w:p w:rsidR="006D1E54" w:rsidRPr="00640786" w:rsidRDefault="00640786" w:rsidP="00151E7A">
      <w:pPr>
        <w:pStyle w:val="ListParagraph"/>
        <w:numPr>
          <w:ilvl w:val="0"/>
          <w:numId w:val="16"/>
        </w:numPr>
        <w:rPr>
          <w:rFonts w:cs="Arial"/>
        </w:rPr>
      </w:pPr>
      <w:r>
        <w:rPr>
          <w:rFonts w:cs="Arial"/>
        </w:rPr>
        <w:t>Enable</w:t>
      </w:r>
      <w:r w:rsidR="006D1E54" w:rsidRPr="00640786">
        <w:rPr>
          <w:rFonts w:cs="Arial"/>
        </w:rPr>
        <w:t xml:space="preserve"> closer liaison between member economies on wine MRL issues</w:t>
      </w:r>
    </w:p>
    <w:p w:rsidR="007E3AAE" w:rsidRPr="00640786" w:rsidRDefault="006D1E54" w:rsidP="00151E7A">
      <w:pPr>
        <w:pStyle w:val="ListParagraph"/>
        <w:numPr>
          <w:ilvl w:val="0"/>
          <w:numId w:val="16"/>
        </w:numPr>
        <w:rPr>
          <w:rFonts w:eastAsia="Times New Roman" w:cs="Arial"/>
          <w:lang w:eastAsia="en-GB"/>
        </w:rPr>
      </w:pPr>
      <w:r w:rsidRPr="00640786">
        <w:rPr>
          <w:rFonts w:eastAsia="Times New Roman" w:cs="Arial"/>
          <w:lang w:eastAsia="en-GB"/>
        </w:rPr>
        <w:t>En</w:t>
      </w:r>
      <w:r w:rsidR="00640786" w:rsidRPr="00640786">
        <w:rPr>
          <w:rFonts w:eastAsia="Times New Roman" w:cs="Arial"/>
          <w:lang w:eastAsia="en-GB"/>
        </w:rPr>
        <w:t>sure</w:t>
      </w:r>
      <w:r w:rsidRPr="00640786">
        <w:rPr>
          <w:rFonts w:eastAsia="Times New Roman" w:cs="Arial"/>
          <w:lang w:eastAsia="en-GB"/>
        </w:rPr>
        <w:t xml:space="preserve"> the FSCF Secretariat </w:t>
      </w:r>
      <w:r w:rsidR="00640786" w:rsidRPr="00640786">
        <w:rPr>
          <w:rFonts w:eastAsia="Times New Roman" w:cs="Arial"/>
          <w:lang w:eastAsia="en-GB"/>
        </w:rPr>
        <w:t>can</w:t>
      </w:r>
      <w:r w:rsidRPr="00640786">
        <w:rPr>
          <w:rFonts w:eastAsia="Times New Roman" w:cs="Arial"/>
          <w:lang w:eastAsia="en-GB"/>
        </w:rPr>
        <w:t xml:space="preserve"> liaise with appropriate representatives of all economies regarding the MRL plan.</w:t>
      </w:r>
    </w:p>
    <w:p w:rsidR="00640786" w:rsidRDefault="00640786" w:rsidP="006D1E54">
      <w:pPr>
        <w:rPr>
          <w:rFonts w:eastAsia="Times New Roman" w:cs="Arial"/>
          <w:lang w:eastAsia="en-GB"/>
        </w:rPr>
      </w:pPr>
    </w:p>
    <w:p w:rsidR="001075EF" w:rsidRPr="001075EF" w:rsidRDefault="007E3AAE" w:rsidP="009F5E0D">
      <w:pPr>
        <w:rPr>
          <w:rFonts w:cs="Arial"/>
          <w:i/>
        </w:rPr>
      </w:pPr>
      <w:r w:rsidRPr="00AE1D20">
        <w:rPr>
          <w:rFonts w:cs="Arial"/>
          <w:b/>
          <w:i/>
        </w:rPr>
        <w:t xml:space="preserve">Data </w:t>
      </w:r>
      <w:r w:rsidR="009F7D76" w:rsidRPr="00AE1D20">
        <w:rPr>
          <w:rFonts w:cs="Arial"/>
          <w:b/>
          <w:i/>
        </w:rPr>
        <w:t>compilation</w:t>
      </w:r>
      <w:r w:rsidR="00D61493">
        <w:rPr>
          <w:rFonts w:cs="Arial"/>
          <w:i/>
        </w:rPr>
        <w:t xml:space="preserve"> –</w:t>
      </w:r>
      <w:r w:rsidR="00CF5C79">
        <w:rPr>
          <w:rFonts w:cs="Arial"/>
          <w:i/>
        </w:rPr>
        <w:t xml:space="preserve"> linkage to data exchange/</w:t>
      </w:r>
      <w:r w:rsidR="009068BA">
        <w:rPr>
          <w:rFonts w:cs="Arial"/>
          <w:i/>
        </w:rPr>
        <w:t>work share</w:t>
      </w:r>
      <w:r w:rsidR="001075EF">
        <w:rPr>
          <w:rFonts w:cs="Arial"/>
          <w:i/>
        </w:rPr>
        <w:t xml:space="preserve"> and import tolerance systems</w:t>
      </w:r>
    </w:p>
    <w:p w:rsidR="009F5E0D" w:rsidRDefault="009F5E0D" w:rsidP="00151E7A">
      <w:pPr>
        <w:pStyle w:val="ListParagraph"/>
        <w:numPr>
          <w:ilvl w:val="0"/>
          <w:numId w:val="4"/>
        </w:numPr>
        <w:ind w:left="357" w:hanging="357"/>
        <w:rPr>
          <w:rFonts w:cs="Arial"/>
        </w:rPr>
      </w:pPr>
      <w:r w:rsidRPr="00775DF3">
        <w:rPr>
          <w:rFonts w:cs="Arial"/>
        </w:rPr>
        <w:t>Establish a register of economies that have developed a system to recognise import tolerances for wine</w:t>
      </w:r>
      <w:r>
        <w:rPr>
          <w:rFonts w:cs="Arial"/>
        </w:rPr>
        <w:t xml:space="preserve"> grapes and wine</w:t>
      </w:r>
      <w:r w:rsidRPr="00775DF3">
        <w:rPr>
          <w:rFonts w:cs="Arial"/>
        </w:rPr>
        <w:t xml:space="preserve"> MRLs established by Codex or a regulatory authority</w:t>
      </w:r>
      <w:r>
        <w:rPr>
          <w:rFonts w:cs="Arial"/>
        </w:rPr>
        <w:t xml:space="preserve"> of</w:t>
      </w:r>
      <w:r w:rsidRPr="00775DF3">
        <w:rPr>
          <w:rFonts w:cs="Arial"/>
        </w:rPr>
        <w:t xml:space="preserve"> </w:t>
      </w:r>
      <w:r>
        <w:rPr>
          <w:rFonts w:cs="Arial"/>
        </w:rPr>
        <w:t xml:space="preserve">an </w:t>
      </w:r>
      <w:r w:rsidRPr="00775DF3">
        <w:rPr>
          <w:rFonts w:cs="Arial"/>
        </w:rPr>
        <w:t>APEC member</w:t>
      </w:r>
      <w:r w:rsidR="00D15795">
        <w:rPr>
          <w:rFonts w:cs="Arial"/>
        </w:rPr>
        <w:t xml:space="preserve"> economy</w:t>
      </w:r>
    </w:p>
    <w:p w:rsidR="00E11560" w:rsidRDefault="00E11560" w:rsidP="00886735">
      <w:pPr>
        <w:rPr>
          <w:rFonts w:cs="Arial"/>
        </w:rPr>
      </w:pPr>
    </w:p>
    <w:p w:rsidR="00E11560" w:rsidRPr="00886735" w:rsidRDefault="00E11560" w:rsidP="00886735">
      <w:pPr>
        <w:rPr>
          <w:rFonts w:cs="Arial"/>
        </w:rPr>
      </w:pPr>
    </w:p>
    <w:p w:rsidR="00997B86" w:rsidRPr="00775DF3" w:rsidRDefault="00806930" w:rsidP="000019C6">
      <w:pPr>
        <w:pStyle w:val="ListParagraph"/>
        <w:numPr>
          <w:ilvl w:val="0"/>
          <w:numId w:val="4"/>
        </w:numPr>
        <w:ind w:left="357" w:hanging="357"/>
        <w:rPr>
          <w:rFonts w:cs="Arial"/>
        </w:rPr>
      </w:pPr>
      <w:r>
        <w:rPr>
          <w:rFonts w:cs="Arial"/>
        </w:rPr>
        <w:lastRenderedPageBreak/>
        <w:t>Consider a</w:t>
      </w:r>
      <w:r w:rsidR="00997B86">
        <w:rPr>
          <w:rFonts w:cs="Arial"/>
        </w:rPr>
        <w:t xml:space="preserve">s part of </w:t>
      </w:r>
      <w:r w:rsidR="009F5E0D">
        <w:rPr>
          <w:rFonts w:cs="Arial"/>
        </w:rPr>
        <w:t>compiling</w:t>
      </w:r>
      <w:r w:rsidR="00997B86">
        <w:rPr>
          <w:rFonts w:cs="Arial"/>
        </w:rPr>
        <w:t xml:space="preserve"> available data on wine</w:t>
      </w:r>
      <w:r w:rsidR="00CF5C79">
        <w:rPr>
          <w:rFonts w:cs="Arial"/>
        </w:rPr>
        <w:t xml:space="preserve"> grapes and wine</w:t>
      </w:r>
      <w:r w:rsidR="00997B86">
        <w:rPr>
          <w:rFonts w:cs="Arial"/>
        </w:rPr>
        <w:t xml:space="preserve"> MRLs within the APEC region</w:t>
      </w:r>
      <w:r>
        <w:rPr>
          <w:rFonts w:cs="Arial"/>
        </w:rPr>
        <w:t xml:space="preserve"> </w:t>
      </w:r>
      <w:r w:rsidR="00CF5C79">
        <w:rPr>
          <w:rFonts w:cs="Arial"/>
        </w:rPr>
        <w:t xml:space="preserve">to identify </w:t>
      </w:r>
      <w:r>
        <w:rPr>
          <w:rFonts w:cs="Arial"/>
        </w:rPr>
        <w:t>the following</w:t>
      </w:r>
      <w:r w:rsidR="00997B86">
        <w:rPr>
          <w:rFonts w:cs="Arial"/>
        </w:rPr>
        <w:t>:</w:t>
      </w:r>
      <w:r w:rsidR="00997B86" w:rsidRPr="00775DF3">
        <w:rPr>
          <w:rFonts w:cs="Arial"/>
        </w:rPr>
        <w:t xml:space="preserve">  </w:t>
      </w:r>
    </w:p>
    <w:p w:rsidR="00997B86" w:rsidRDefault="00D15795" w:rsidP="00151E7A">
      <w:pPr>
        <w:pStyle w:val="ListParagraph"/>
        <w:numPr>
          <w:ilvl w:val="0"/>
          <w:numId w:val="5"/>
        </w:numPr>
        <w:rPr>
          <w:rFonts w:cs="Arial"/>
        </w:rPr>
      </w:pPr>
      <w:r>
        <w:rPr>
          <w:rFonts w:cs="Arial"/>
        </w:rPr>
        <w:t>H</w:t>
      </w:r>
      <w:r w:rsidR="00997B86" w:rsidRPr="006E5CE9">
        <w:rPr>
          <w:rFonts w:cs="Arial"/>
        </w:rPr>
        <w:t>ighest MRLs</w:t>
      </w:r>
      <w:r w:rsidR="009068BA">
        <w:rPr>
          <w:rFonts w:cs="Arial"/>
        </w:rPr>
        <w:t xml:space="preserve"> for wine grapes and wine and their relationship to</w:t>
      </w:r>
      <w:r w:rsidR="00997B86">
        <w:rPr>
          <w:rFonts w:cs="Arial"/>
        </w:rPr>
        <w:t xml:space="preserve"> Codex values</w:t>
      </w:r>
    </w:p>
    <w:p w:rsidR="00CF5C79" w:rsidRDefault="00D15795" w:rsidP="00151E7A">
      <w:pPr>
        <w:pStyle w:val="ListParagraph"/>
        <w:numPr>
          <w:ilvl w:val="0"/>
          <w:numId w:val="5"/>
        </w:numPr>
        <w:rPr>
          <w:rFonts w:cs="Arial"/>
        </w:rPr>
      </w:pPr>
      <w:r>
        <w:rPr>
          <w:rFonts w:cs="Arial"/>
        </w:rPr>
        <w:t>P</w:t>
      </w:r>
      <w:r w:rsidR="00CF5C79">
        <w:rPr>
          <w:rFonts w:cs="Arial"/>
        </w:rPr>
        <w:t>rocesses established for setting wine grapes and wine MRLs</w:t>
      </w:r>
    </w:p>
    <w:p w:rsidR="00997B86" w:rsidRDefault="00D15795" w:rsidP="00151E7A">
      <w:pPr>
        <w:pStyle w:val="ListParagraph"/>
        <w:numPr>
          <w:ilvl w:val="0"/>
          <w:numId w:val="5"/>
        </w:numPr>
        <w:rPr>
          <w:rFonts w:cs="Arial"/>
        </w:rPr>
      </w:pPr>
      <w:r>
        <w:rPr>
          <w:rFonts w:cs="Arial"/>
        </w:rPr>
        <w:t>T</w:t>
      </w:r>
      <w:r w:rsidR="009068BA">
        <w:rPr>
          <w:rFonts w:cs="Arial"/>
        </w:rPr>
        <w:t>ypes of</w:t>
      </w:r>
      <w:r w:rsidR="00997B86">
        <w:rPr>
          <w:rFonts w:cs="Arial"/>
        </w:rPr>
        <w:t xml:space="preserve"> analysis </w:t>
      </w:r>
      <w:r w:rsidR="009068BA">
        <w:rPr>
          <w:rFonts w:cs="Arial"/>
        </w:rPr>
        <w:t>undertaken to set the MRL values</w:t>
      </w:r>
      <w:r w:rsidR="00997B86" w:rsidRPr="006E5CE9">
        <w:rPr>
          <w:rFonts w:cs="Arial"/>
        </w:rPr>
        <w:t xml:space="preserve"> </w:t>
      </w:r>
    </w:p>
    <w:p w:rsidR="00997B86" w:rsidRDefault="00D15795" w:rsidP="00151E7A">
      <w:pPr>
        <w:pStyle w:val="ListParagraph"/>
        <w:numPr>
          <w:ilvl w:val="0"/>
          <w:numId w:val="5"/>
        </w:numPr>
        <w:rPr>
          <w:rFonts w:cs="Arial"/>
        </w:rPr>
      </w:pPr>
      <w:r>
        <w:rPr>
          <w:rFonts w:cs="Arial"/>
        </w:rPr>
        <w:t>H</w:t>
      </w:r>
      <w:r w:rsidR="00997B86" w:rsidRPr="00DA336F">
        <w:rPr>
          <w:rFonts w:cs="Arial"/>
        </w:rPr>
        <w:t xml:space="preserve">ow </w:t>
      </w:r>
      <w:r w:rsidR="00CF5C79">
        <w:rPr>
          <w:rFonts w:cs="Arial"/>
        </w:rPr>
        <w:t>each member economy</w:t>
      </w:r>
      <w:r w:rsidR="00997B86" w:rsidRPr="00DA336F">
        <w:rPr>
          <w:rFonts w:cs="Arial"/>
        </w:rPr>
        <w:t xml:space="preserve"> deal</w:t>
      </w:r>
      <w:r w:rsidR="00CF5C79">
        <w:rPr>
          <w:rFonts w:cs="Arial"/>
        </w:rPr>
        <w:t>s</w:t>
      </w:r>
      <w:r w:rsidR="00997B86" w:rsidRPr="00DA336F">
        <w:rPr>
          <w:rFonts w:cs="Arial"/>
        </w:rPr>
        <w:t xml:space="preserve"> with </w:t>
      </w:r>
      <w:r w:rsidR="00CF5C79">
        <w:rPr>
          <w:rFonts w:cs="Arial"/>
        </w:rPr>
        <w:t xml:space="preserve">wine grapes and wine </w:t>
      </w:r>
      <w:r w:rsidR="00997B86" w:rsidRPr="00DA336F">
        <w:rPr>
          <w:rFonts w:cs="Arial"/>
        </w:rPr>
        <w:t xml:space="preserve">MRLs </w:t>
      </w:r>
    </w:p>
    <w:p w:rsidR="00997B86" w:rsidRDefault="00D15795" w:rsidP="00151E7A">
      <w:pPr>
        <w:pStyle w:val="ListParagraph"/>
        <w:numPr>
          <w:ilvl w:val="0"/>
          <w:numId w:val="5"/>
        </w:numPr>
        <w:rPr>
          <w:rFonts w:cs="Arial"/>
        </w:rPr>
      </w:pPr>
      <w:r>
        <w:rPr>
          <w:rFonts w:cs="Arial"/>
        </w:rPr>
        <w:t>P</w:t>
      </w:r>
      <w:r w:rsidR="00997B86" w:rsidRPr="00DA336F">
        <w:rPr>
          <w:rFonts w:cs="Arial"/>
        </w:rPr>
        <w:t xml:space="preserve">ossible use of a survey approach to collect the data required. </w:t>
      </w:r>
    </w:p>
    <w:p w:rsidR="009F5E0D" w:rsidRDefault="009F5E0D" w:rsidP="009F5E0D">
      <w:pPr>
        <w:rPr>
          <w:rFonts w:cs="Arial"/>
        </w:rPr>
      </w:pPr>
    </w:p>
    <w:p w:rsidR="00AE1D20" w:rsidRPr="00AE1D20" w:rsidRDefault="00AE1D20" w:rsidP="00E34F6D">
      <w:pPr>
        <w:rPr>
          <w:rFonts w:cs="Arial"/>
          <w:i/>
        </w:rPr>
      </w:pPr>
      <w:r w:rsidRPr="00AE1D20">
        <w:rPr>
          <w:rFonts w:cs="Arial"/>
          <w:i/>
        </w:rPr>
        <w:t>Anticipated outcome:</w:t>
      </w:r>
    </w:p>
    <w:p w:rsidR="00E34F6D" w:rsidRDefault="009068BA" w:rsidP="000019C6">
      <w:pPr>
        <w:pStyle w:val="ListParagraph"/>
        <w:numPr>
          <w:ilvl w:val="0"/>
          <w:numId w:val="15"/>
        </w:numPr>
        <w:ind w:left="714" w:hanging="357"/>
        <w:rPr>
          <w:rFonts w:cs="Arial"/>
        </w:rPr>
      </w:pPr>
      <w:r w:rsidRPr="00E34F6D">
        <w:rPr>
          <w:rFonts w:cs="Arial"/>
        </w:rPr>
        <w:t>Facilitate establishment of import tolerances on a case-by-case basis</w:t>
      </w:r>
      <w:r w:rsidR="001075EF" w:rsidRPr="00E34F6D">
        <w:rPr>
          <w:rFonts w:cs="Arial"/>
        </w:rPr>
        <w:t>.</w:t>
      </w:r>
    </w:p>
    <w:p w:rsidR="009068BA" w:rsidRPr="00E34F6D" w:rsidRDefault="009068BA" w:rsidP="000019C6">
      <w:pPr>
        <w:pStyle w:val="ListParagraph"/>
        <w:numPr>
          <w:ilvl w:val="0"/>
          <w:numId w:val="15"/>
        </w:numPr>
        <w:ind w:left="714" w:hanging="357"/>
        <w:rPr>
          <w:rFonts w:cs="Arial"/>
        </w:rPr>
      </w:pPr>
      <w:r w:rsidRPr="00E34F6D">
        <w:rPr>
          <w:rFonts w:cs="Arial"/>
        </w:rPr>
        <w:t>I</w:t>
      </w:r>
      <w:r w:rsidR="00640786">
        <w:rPr>
          <w:rFonts w:cs="Arial"/>
        </w:rPr>
        <w:t>dentify</w:t>
      </w:r>
      <w:r w:rsidRPr="00E34F6D">
        <w:rPr>
          <w:rFonts w:cs="Arial"/>
        </w:rPr>
        <w:t xml:space="preserve"> systems used by some member economies that </w:t>
      </w:r>
      <w:r w:rsidR="00F13916">
        <w:rPr>
          <w:rFonts w:cs="Arial"/>
        </w:rPr>
        <w:t xml:space="preserve">could be adopted or </w:t>
      </w:r>
      <w:r w:rsidRPr="00E34F6D">
        <w:rPr>
          <w:rFonts w:cs="Arial"/>
        </w:rPr>
        <w:t xml:space="preserve">adapted across </w:t>
      </w:r>
      <w:r w:rsidR="00E11560">
        <w:rPr>
          <w:rFonts w:cs="Arial"/>
        </w:rPr>
        <w:t xml:space="preserve">all </w:t>
      </w:r>
      <w:r w:rsidRPr="00E34F6D">
        <w:rPr>
          <w:rFonts w:cs="Arial"/>
        </w:rPr>
        <w:t xml:space="preserve">APEC </w:t>
      </w:r>
      <w:r w:rsidR="00E11560">
        <w:rPr>
          <w:rFonts w:cs="Arial"/>
        </w:rPr>
        <w:t>member economies</w:t>
      </w:r>
      <w:r w:rsidR="00CF5C79" w:rsidRPr="00E34F6D">
        <w:rPr>
          <w:rFonts w:cs="Arial"/>
        </w:rPr>
        <w:t>.</w:t>
      </w:r>
    </w:p>
    <w:p w:rsidR="009068BA" w:rsidRDefault="009068BA" w:rsidP="009068BA">
      <w:pPr>
        <w:rPr>
          <w:rFonts w:cs="Arial"/>
        </w:rPr>
      </w:pPr>
    </w:p>
    <w:p w:rsidR="00352A5D" w:rsidRPr="00F2349F" w:rsidRDefault="009F5E0D" w:rsidP="009F5E0D">
      <w:pPr>
        <w:rPr>
          <w:rFonts w:cs="Arial"/>
          <w:i/>
        </w:rPr>
      </w:pPr>
      <w:r w:rsidRPr="00AE1D20">
        <w:rPr>
          <w:rFonts w:cs="Arial"/>
          <w:b/>
          <w:i/>
        </w:rPr>
        <w:t>Training and funding</w:t>
      </w:r>
      <w:r w:rsidR="001075EF">
        <w:rPr>
          <w:rFonts w:cs="Arial"/>
          <w:i/>
        </w:rPr>
        <w:t xml:space="preserve"> – Linkage to all four broad principles and to the Training Network</w:t>
      </w:r>
    </w:p>
    <w:p w:rsidR="00E66A72" w:rsidRDefault="00C82EF2" w:rsidP="00151E7A">
      <w:pPr>
        <w:pStyle w:val="ListParagraph"/>
        <w:numPr>
          <w:ilvl w:val="0"/>
          <w:numId w:val="4"/>
        </w:numPr>
        <w:ind w:left="357" w:hanging="357"/>
        <w:rPr>
          <w:rFonts w:cs="Arial"/>
        </w:rPr>
      </w:pPr>
      <w:r>
        <w:rPr>
          <w:rFonts w:cs="Arial"/>
        </w:rPr>
        <w:t>Discuss the n</w:t>
      </w:r>
      <w:r w:rsidR="00E66A72">
        <w:rPr>
          <w:rFonts w:cs="Arial"/>
        </w:rPr>
        <w:t>eed for cap</w:t>
      </w:r>
      <w:r w:rsidR="00F2349F">
        <w:rPr>
          <w:rFonts w:cs="Arial"/>
        </w:rPr>
        <w:t>acity building through training</w:t>
      </w:r>
    </w:p>
    <w:p w:rsidR="00806930" w:rsidRDefault="00E66A72" w:rsidP="00151E7A">
      <w:pPr>
        <w:pStyle w:val="ListParagraph"/>
        <w:numPr>
          <w:ilvl w:val="0"/>
          <w:numId w:val="4"/>
        </w:numPr>
        <w:ind w:left="357" w:hanging="357"/>
        <w:rPr>
          <w:rFonts w:cs="Arial"/>
        </w:rPr>
      </w:pPr>
      <w:r>
        <w:rPr>
          <w:rFonts w:cs="Arial"/>
        </w:rPr>
        <w:t>Identify available training options</w:t>
      </w:r>
      <w:r w:rsidR="009446E5">
        <w:rPr>
          <w:rFonts w:cs="Arial"/>
        </w:rPr>
        <w:t xml:space="preserve"> </w:t>
      </w:r>
      <w:r w:rsidR="00863F34">
        <w:rPr>
          <w:rFonts w:cs="Arial"/>
        </w:rPr>
        <w:t xml:space="preserve">and models </w:t>
      </w:r>
    </w:p>
    <w:p w:rsidR="009F5E0D" w:rsidRDefault="00806930" w:rsidP="00151E7A">
      <w:pPr>
        <w:pStyle w:val="ListParagraph"/>
        <w:numPr>
          <w:ilvl w:val="0"/>
          <w:numId w:val="4"/>
        </w:numPr>
        <w:ind w:left="357" w:hanging="357"/>
        <w:rPr>
          <w:rFonts w:cs="Arial"/>
        </w:rPr>
      </w:pPr>
      <w:r>
        <w:rPr>
          <w:rFonts w:cs="Arial"/>
        </w:rPr>
        <w:t>Identify</w:t>
      </w:r>
      <w:r w:rsidR="009446E5">
        <w:rPr>
          <w:rFonts w:cs="Arial"/>
        </w:rPr>
        <w:t xml:space="preserve"> funding possibilities</w:t>
      </w:r>
      <w:r>
        <w:rPr>
          <w:rFonts w:cs="Arial"/>
        </w:rPr>
        <w:t xml:space="preserve"> for training purposes</w:t>
      </w:r>
    </w:p>
    <w:p w:rsidR="009F5E0D" w:rsidRPr="009F5E0D" w:rsidRDefault="009F5E0D" w:rsidP="00151E7A">
      <w:pPr>
        <w:pStyle w:val="ListParagraph"/>
        <w:numPr>
          <w:ilvl w:val="0"/>
          <w:numId w:val="4"/>
        </w:numPr>
        <w:ind w:left="357" w:hanging="357"/>
        <w:rPr>
          <w:rFonts w:cs="Arial"/>
        </w:rPr>
      </w:pPr>
      <w:r w:rsidRPr="009F5E0D">
        <w:rPr>
          <w:rFonts w:cs="Arial"/>
        </w:rPr>
        <w:t>Address issues relating to funding for member economies to attend relevant meetings.</w:t>
      </w:r>
    </w:p>
    <w:p w:rsidR="00AE1D20" w:rsidRDefault="00AE1D20" w:rsidP="00AE1D20">
      <w:pPr>
        <w:ind w:firstLine="357"/>
        <w:rPr>
          <w:rFonts w:cs="Arial"/>
        </w:rPr>
      </w:pPr>
    </w:p>
    <w:p w:rsidR="00AE1D20" w:rsidRDefault="00AE1D20" w:rsidP="00AE1D20">
      <w:pPr>
        <w:rPr>
          <w:rFonts w:cs="Arial"/>
        </w:rPr>
      </w:pPr>
      <w:r w:rsidRPr="00AE1D20">
        <w:rPr>
          <w:rFonts w:cs="Arial"/>
          <w:i/>
        </w:rPr>
        <w:t>Anticipated Outcome</w:t>
      </w:r>
      <w:r>
        <w:rPr>
          <w:rFonts w:cs="Arial"/>
        </w:rPr>
        <w:t>:</w:t>
      </w:r>
    </w:p>
    <w:p w:rsidR="00AE1D20" w:rsidRDefault="00640786" w:rsidP="00151E7A">
      <w:pPr>
        <w:pStyle w:val="ListParagraph"/>
        <w:numPr>
          <w:ilvl w:val="0"/>
          <w:numId w:val="14"/>
        </w:numPr>
        <w:rPr>
          <w:rFonts w:cs="Arial"/>
        </w:rPr>
      </w:pPr>
      <w:r>
        <w:rPr>
          <w:rFonts w:cs="Arial"/>
        </w:rPr>
        <w:t>Provide</w:t>
      </w:r>
      <w:r w:rsidR="001075EF" w:rsidRPr="00AE1D20">
        <w:rPr>
          <w:rFonts w:cs="Arial"/>
        </w:rPr>
        <w:t xml:space="preserve"> opportunities for up-skilling and </w:t>
      </w:r>
      <w:r w:rsidR="00D15795">
        <w:rPr>
          <w:rFonts w:cs="Arial"/>
        </w:rPr>
        <w:t>maintaining</w:t>
      </w:r>
      <w:r w:rsidR="001075EF" w:rsidRPr="00AE1D20">
        <w:rPr>
          <w:rFonts w:cs="Arial"/>
        </w:rPr>
        <w:t xml:space="preserve"> current </w:t>
      </w:r>
      <w:r w:rsidR="00A565FC">
        <w:rPr>
          <w:rFonts w:cs="Arial"/>
        </w:rPr>
        <w:t xml:space="preserve">wine MRL setting </w:t>
      </w:r>
      <w:r w:rsidR="001075EF" w:rsidRPr="00AE1D20">
        <w:rPr>
          <w:rFonts w:cs="Arial"/>
        </w:rPr>
        <w:t>processes across the APEC region</w:t>
      </w:r>
    </w:p>
    <w:p w:rsidR="00AE1D20" w:rsidRDefault="001075EF" w:rsidP="00151E7A">
      <w:pPr>
        <w:pStyle w:val="ListParagraph"/>
        <w:numPr>
          <w:ilvl w:val="0"/>
          <w:numId w:val="14"/>
        </w:numPr>
        <w:rPr>
          <w:rFonts w:cs="Arial"/>
        </w:rPr>
      </w:pPr>
      <w:r w:rsidRPr="00AE1D20">
        <w:rPr>
          <w:rFonts w:cs="Arial"/>
        </w:rPr>
        <w:t>Ens</w:t>
      </w:r>
      <w:r w:rsidR="00640786">
        <w:rPr>
          <w:rFonts w:cs="Arial"/>
        </w:rPr>
        <w:t>ure</w:t>
      </w:r>
      <w:r w:rsidRPr="00AE1D20">
        <w:rPr>
          <w:rFonts w:cs="Arial"/>
        </w:rPr>
        <w:t xml:space="preserve"> consistency in processes and approaches used by member economies</w:t>
      </w:r>
    </w:p>
    <w:p w:rsidR="001075EF" w:rsidRPr="00AE1D20" w:rsidRDefault="00640786" w:rsidP="00151E7A">
      <w:pPr>
        <w:pStyle w:val="ListParagraph"/>
        <w:numPr>
          <w:ilvl w:val="0"/>
          <w:numId w:val="14"/>
        </w:numPr>
        <w:rPr>
          <w:rFonts w:cs="Arial"/>
        </w:rPr>
      </w:pPr>
      <w:r>
        <w:rPr>
          <w:rFonts w:cs="Arial"/>
        </w:rPr>
        <w:t>Provide</w:t>
      </w:r>
      <w:r w:rsidR="001075EF" w:rsidRPr="00AE1D20">
        <w:rPr>
          <w:rFonts w:cs="Arial"/>
        </w:rPr>
        <w:t xml:space="preserve"> a platform for MRL harmonisation based on commonalities.  </w:t>
      </w:r>
    </w:p>
    <w:p w:rsidR="00AE1D20" w:rsidRDefault="00AE1D20" w:rsidP="00AB61DA">
      <w:pPr>
        <w:rPr>
          <w:rFonts w:eastAsia="Times New Roman" w:cs="Arial"/>
          <w:b/>
          <w:lang w:eastAsia="en-GB"/>
        </w:rPr>
      </w:pPr>
    </w:p>
    <w:p w:rsidR="00775DF3" w:rsidRPr="00F2349F" w:rsidRDefault="00AB61DA" w:rsidP="00151E7A">
      <w:pPr>
        <w:pStyle w:val="ListParagraph"/>
        <w:numPr>
          <w:ilvl w:val="0"/>
          <w:numId w:val="12"/>
        </w:numPr>
        <w:rPr>
          <w:rFonts w:eastAsia="Times New Roman" w:cs="Arial"/>
          <w:b/>
          <w:i/>
          <w:lang w:eastAsia="en-GB"/>
        </w:rPr>
      </w:pPr>
      <w:r w:rsidRPr="00F2349F">
        <w:rPr>
          <w:rFonts w:eastAsia="Times New Roman" w:cs="Arial"/>
          <w:b/>
          <w:i/>
          <w:lang w:eastAsia="en-GB"/>
        </w:rPr>
        <w:t xml:space="preserve"> </w:t>
      </w:r>
      <w:r w:rsidR="00730352" w:rsidRPr="00F2349F">
        <w:rPr>
          <w:rFonts w:eastAsia="Times New Roman" w:cs="Arial"/>
          <w:b/>
          <w:i/>
          <w:lang w:eastAsia="en-GB"/>
        </w:rPr>
        <w:t>Proposed second MRL pilot project</w:t>
      </w:r>
    </w:p>
    <w:p w:rsidR="00FC31E1" w:rsidRDefault="00FC31E1" w:rsidP="001138D9">
      <w:pPr>
        <w:rPr>
          <w:rFonts w:eastAsia="Times New Roman" w:cs="Arial"/>
          <w:lang w:eastAsia="en-GB"/>
        </w:rPr>
      </w:pPr>
    </w:p>
    <w:p w:rsidR="00A96E33" w:rsidRDefault="00A96E33" w:rsidP="00262FF3">
      <w:pPr>
        <w:rPr>
          <w:rFonts w:eastAsia="Times New Roman" w:cs="Arial"/>
          <w:lang w:eastAsia="en-GB"/>
        </w:rPr>
      </w:pPr>
      <w:r w:rsidRPr="00A5327A">
        <w:rPr>
          <w:rFonts w:cs="Arial"/>
          <w:lang w:val="en-AU"/>
        </w:rPr>
        <w:t xml:space="preserve">The </w:t>
      </w:r>
      <w:r>
        <w:rPr>
          <w:rFonts w:cs="Arial"/>
          <w:lang w:val="en-AU"/>
        </w:rPr>
        <w:t>FSCF</w:t>
      </w:r>
      <w:r w:rsidRPr="00A5327A">
        <w:rPr>
          <w:rFonts w:cs="Arial"/>
          <w:lang w:val="en-AU"/>
        </w:rPr>
        <w:t xml:space="preserve"> discussed the </w:t>
      </w:r>
      <w:r>
        <w:rPr>
          <w:rFonts w:cs="Arial"/>
          <w:lang w:val="en-AU"/>
        </w:rPr>
        <w:t xml:space="preserve">possibility </w:t>
      </w:r>
      <w:r w:rsidRPr="00A5327A">
        <w:rPr>
          <w:rFonts w:cs="Arial"/>
          <w:lang w:val="en-AU"/>
        </w:rPr>
        <w:t xml:space="preserve">of a future </w:t>
      </w:r>
      <w:r>
        <w:rPr>
          <w:rFonts w:cs="Arial"/>
          <w:lang w:val="en-AU"/>
        </w:rPr>
        <w:t xml:space="preserve">second MRL </w:t>
      </w:r>
      <w:r w:rsidRPr="00A5327A">
        <w:rPr>
          <w:rFonts w:cs="Arial"/>
          <w:lang w:val="en-AU"/>
        </w:rPr>
        <w:t xml:space="preserve">pilot study on tropical fruits </w:t>
      </w:r>
      <w:r>
        <w:rPr>
          <w:rFonts w:cs="Arial"/>
          <w:lang w:val="en-AU"/>
        </w:rPr>
        <w:t>at the 4</w:t>
      </w:r>
      <w:r w:rsidRPr="00773458">
        <w:rPr>
          <w:rFonts w:cs="Arial"/>
          <w:vertAlign w:val="superscript"/>
          <w:lang w:val="en-AU"/>
        </w:rPr>
        <w:t>th</w:t>
      </w:r>
      <w:r>
        <w:rPr>
          <w:rFonts w:cs="Arial"/>
          <w:lang w:val="en-AU"/>
        </w:rPr>
        <w:t xml:space="preserve"> APEC FSCF meeting </w:t>
      </w:r>
      <w:r w:rsidR="00E11560">
        <w:rPr>
          <w:rFonts w:cs="Arial"/>
          <w:lang w:val="en-AU"/>
        </w:rPr>
        <w:t xml:space="preserve">held </w:t>
      </w:r>
      <w:r>
        <w:rPr>
          <w:rFonts w:cs="Arial"/>
          <w:lang w:val="en-AU"/>
        </w:rPr>
        <w:t>in April 2013</w:t>
      </w:r>
      <w:r w:rsidR="00E11560">
        <w:rPr>
          <w:rFonts w:cs="Arial"/>
          <w:lang w:val="en-AU"/>
        </w:rPr>
        <w:t xml:space="preserve"> at</w:t>
      </w:r>
      <w:r>
        <w:rPr>
          <w:rFonts w:cs="Arial"/>
          <w:lang w:val="en-AU"/>
        </w:rPr>
        <w:t xml:space="preserve"> Surabaya,</w:t>
      </w:r>
      <w:r w:rsidRPr="00A5327A">
        <w:rPr>
          <w:rFonts w:cs="Arial"/>
          <w:lang w:val="en-AU"/>
        </w:rPr>
        <w:t xml:space="preserve"> Indonesia</w:t>
      </w:r>
      <w:r w:rsidRPr="00A5327A">
        <w:rPr>
          <w:rFonts w:cs="Arial"/>
        </w:rPr>
        <w:t>.</w:t>
      </w:r>
    </w:p>
    <w:p w:rsidR="00A96E33" w:rsidRDefault="00A96E33" w:rsidP="00262FF3">
      <w:pPr>
        <w:rPr>
          <w:rFonts w:eastAsia="Times New Roman" w:cs="Arial"/>
          <w:lang w:eastAsia="en-GB"/>
        </w:rPr>
      </w:pPr>
    </w:p>
    <w:p w:rsidR="00A96E33" w:rsidRDefault="00A96E33" w:rsidP="00A96E33">
      <w:pPr>
        <w:spacing w:after="200"/>
        <w:rPr>
          <w:rFonts w:cs="Arial"/>
        </w:rPr>
      </w:pPr>
      <w:r>
        <w:rPr>
          <w:rFonts w:cs="Arial"/>
        </w:rPr>
        <w:t xml:space="preserve">In June 2014, the FSCF Secretariat updated members on discussions that had progressed on the topic including the view of the MRL Working Group. It was suggested that since the Philippines was hosting the 2015 APEC </w:t>
      </w:r>
      <w:r w:rsidR="00E11560">
        <w:rPr>
          <w:rFonts w:cs="Arial"/>
        </w:rPr>
        <w:t xml:space="preserve">FSCF, </w:t>
      </w:r>
      <w:r>
        <w:rPr>
          <w:rFonts w:cs="Arial"/>
        </w:rPr>
        <w:t xml:space="preserve">meeting it could consider nominating for </w:t>
      </w:r>
      <w:r w:rsidR="005374F8">
        <w:rPr>
          <w:rFonts w:cs="Arial"/>
        </w:rPr>
        <w:t>the</w:t>
      </w:r>
      <w:r>
        <w:rPr>
          <w:rFonts w:cs="Arial"/>
        </w:rPr>
        <w:t xml:space="preserve"> second pilot study. It was also suggested that other like-minded</w:t>
      </w:r>
      <w:r w:rsidRPr="00664A3F">
        <w:rPr>
          <w:rFonts w:cs="Arial"/>
        </w:rPr>
        <w:t xml:space="preserve"> </w:t>
      </w:r>
      <w:r>
        <w:rPr>
          <w:rFonts w:cs="Arial"/>
        </w:rPr>
        <w:t>member economies could collaborate with the Philippines to undertake the project</w:t>
      </w:r>
      <w:r w:rsidR="00D00C28">
        <w:rPr>
          <w:rFonts w:cs="Arial"/>
        </w:rPr>
        <w:t>,</w:t>
      </w:r>
      <w:r>
        <w:rPr>
          <w:rFonts w:cs="Arial"/>
        </w:rPr>
        <w:t xml:space="preserve"> if agreed.</w:t>
      </w:r>
    </w:p>
    <w:p w:rsidR="00FC7267" w:rsidRDefault="00A96E33" w:rsidP="00FC7267">
      <w:pPr>
        <w:rPr>
          <w:rFonts w:cs="Arial"/>
        </w:rPr>
      </w:pPr>
      <w:r>
        <w:rPr>
          <w:rFonts w:eastAsia="Times New Roman" w:cs="Arial"/>
          <w:lang w:eastAsia="en-GB"/>
        </w:rPr>
        <w:t>A</w:t>
      </w:r>
      <w:r w:rsidR="00262FF3">
        <w:rPr>
          <w:rFonts w:eastAsia="Times New Roman" w:cs="Arial"/>
          <w:lang w:eastAsia="en-GB"/>
        </w:rPr>
        <w:t xml:space="preserve"> number of member economies </w:t>
      </w:r>
      <w:r>
        <w:rPr>
          <w:rFonts w:eastAsia="Times New Roman" w:cs="Arial"/>
          <w:lang w:eastAsia="en-GB"/>
        </w:rPr>
        <w:t>supported the establishment of</w:t>
      </w:r>
      <w:r w:rsidR="00262FF3">
        <w:rPr>
          <w:rFonts w:eastAsia="Times New Roman" w:cs="Arial"/>
          <w:lang w:eastAsia="en-GB"/>
        </w:rPr>
        <w:t xml:space="preserve"> </w:t>
      </w:r>
      <w:r w:rsidR="004F580E" w:rsidRPr="00262FF3">
        <w:rPr>
          <w:rFonts w:eastAsia="Times New Roman" w:cs="Arial"/>
          <w:lang w:eastAsia="en-GB"/>
        </w:rPr>
        <w:t xml:space="preserve">a second </w:t>
      </w:r>
      <w:r w:rsidR="00262FF3">
        <w:rPr>
          <w:rFonts w:eastAsia="Times New Roman" w:cs="Arial"/>
          <w:lang w:eastAsia="en-GB"/>
        </w:rPr>
        <w:t xml:space="preserve">MRLs </w:t>
      </w:r>
      <w:r w:rsidR="004F580E" w:rsidRPr="00262FF3">
        <w:rPr>
          <w:rFonts w:eastAsia="Times New Roman" w:cs="Arial"/>
          <w:lang w:eastAsia="en-GB"/>
        </w:rPr>
        <w:t>pilo</w:t>
      </w:r>
      <w:r w:rsidR="00262FF3">
        <w:rPr>
          <w:rFonts w:eastAsia="Times New Roman" w:cs="Arial"/>
          <w:lang w:eastAsia="en-GB"/>
        </w:rPr>
        <w:t xml:space="preserve">t study </w:t>
      </w:r>
      <w:r w:rsidR="002C6FA0">
        <w:rPr>
          <w:rFonts w:eastAsia="Times New Roman" w:cs="Arial"/>
          <w:lang w:eastAsia="en-GB"/>
        </w:rPr>
        <w:t xml:space="preserve">focussing </w:t>
      </w:r>
      <w:r w:rsidR="00D00C28" w:rsidRPr="006F4E82">
        <w:rPr>
          <w:rFonts w:eastAsia="Times New Roman" w:cs="Arial"/>
          <w:lang w:eastAsia="en-GB"/>
        </w:rPr>
        <w:t>on</w:t>
      </w:r>
      <w:r w:rsidR="00D00C28">
        <w:rPr>
          <w:rFonts w:eastAsia="Times New Roman" w:cs="Arial"/>
          <w:lang w:eastAsia="en-GB"/>
        </w:rPr>
        <w:t xml:space="preserve"> </w:t>
      </w:r>
      <w:r w:rsidR="00262FF3">
        <w:rPr>
          <w:rFonts w:eastAsia="Times New Roman" w:cs="Arial"/>
          <w:lang w:eastAsia="en-GB"/>
        </w:rPr>
        <w:t>tropical fruit</w:t>
      </w:r>
      <w:r w:rsidR="002C6FA0">
        <w:rPr>
          <w:rFonts w:eastAsia="Times New Roman" w:cs="Arial"/>
          <w:lang w:eastAsia="en-GB"/>
        </w:rPr>
        <w:t xml:space="preserve"> </w:t>
      </w:r>
      <w:r w:rsidR="00D15795">
        <w:rPr>
          <w:rFonts w:eastAsia="Times New Roman" w:cs="Arial"/>
          <w:lang w:eastAsia="en-GB"/>
        </w:rPr>
        <w:t xml:space="preserve">due to these </w:t>
      </w:r>
      <w:r w:rsidR="002C6FA0">
        <w:rPr>
          <w:rFonts w:eastAsia="Times New Roman" w:cs="Arial"/>
          <w:lang w:eastAsia="en-GB"/>
        </w:rPr>
        <w:t xml:space="preserve">commodities </w:t>
      </w:r>
      <w:r w:rsidR="00D15795">
        <w:rPr>
          <w:rFonts w:eastAsia="Times New Roman" w:cs="Arial"/>
          <w:lang w:eastAsia="en-GB"/>
        </w:rPr>
        <w:t xml:space="preserve">being </w:t>
      </w:r>
      <w:r w:rsidR="002C6FA0">
        <w:rPr>
          <w:rFonts w:eastAsia="Times New Roman" w:cs="Arial"/>
          <w:lang w:eastAsia="en-GB"/>
        </w:rPr>
        <w:t xml:space="preserve">widely produced in the APEC region.  </w:t>
      </w:r>
      <w:r w:rsidR="007F7D87">
        <w:rPr>
          <w:rFonts w:cs="Arial"/>
        </w:rPr>
        <w:t>Some FSCF members noted that a case study on tropical fruits in general could be very complex</w:t>
      </w:r>
      <w:r w:rsidR="00D15795">
        <w:rPr>
          <w:rFonts w:cs="Arial"/>
        </w:rPr>
        <w:t xml:space="preserve"> and for this reason m</w:t>
      </w:r>
      <w:r w:rsidR="00D15795" w:rsidRPr="00D15795">
        <w:rPr>
          <w:rFonts w:cs="Arial"/>
        </w:rPr>
        <w:t xml:space="preserve">angoes </w:t>
      </w:r>
      <w:r w:rsidR="00D15795">
        <w:rPr>
          <w:rFonts w:cs="Arial"/>
        </w:rPr>
        <w:t xml:space="preserve">were </w:t>
      </w:r>
      <w:r w:rsidR="00D15795" w:rsidRPr="00D15795">
        <w:rPr>
          <w:rFonts w:cs="Arial"/>
        </w:rPr>
        <w:t>suggested as a specific commodity for the second pilot study.</w:t>
      </w:r>
      <w:r w:rsidR="007F7D87" w:rsidRPr="007F7D87">
        <w:rPr>
          <w:rFonts w:cs="Arial"/>
        </w:rPr>
        <w:t xml:space="preserve"> </w:t>
      </w:r>
      <w:r w:rsidR="007F7D87">
        <w:rPr>
          <w:rFonts w:cs="Arial"/>
        </w:rPr>
        <w:t>It was also proposed that the selection of a single tropical fruit would offer the opportunity to study an unprocessed commodity</w:t>
      </w:r>
      <w:r w:rsidR="00D15795">
        <w:rPr>
          <w:rFonts w:cs="Arial"/>
        </w:rPr>
        <w:t xml:space="preserve"> in contrast </w:t>
      </w:r>
      <w:r w:rsidR="00E11560">
        <w:rPr>
          <w:rFonts w:cs="Arial"/>
        </w:rPr>
        <w:t xml:space="preserve">with </w:t>
      </w:r>
      <w:r w:rsidR="007F7D87">
        <w:rPr>
          <w:rFonts w:cs="Arial"/>
        </w:rPr>
        <w:t xml:space="preserve">the wine MRL study, which was dealing with a processed product, wine.  </w:t>
      </w:r>
      <w:r w:rsidR="00D15795">
        <w:rPr>
          <w:rFonts w:cs="Arial"/>
        </w:rPr>
        <w:t>The</w:t>
      </w:r>
      <w:r>
        <w:rPr>
          <w:rFonts w:cs="Arial"/>
        </w:rPr>
        <w:t xml:space="preserve"> Philippines together with the U</w:t>
      </w:r>
      <w:r w:rsidR="00E11560">
        <w:rPr>
          <w:rFonts w:cs="Arial"/>
        </w:rPr>
        <w:t>SA</w:t>
      </w:r>
      <w:r>
        <w:rPr>
          <w:rFonts w:cs="Arial"/>
        </w:rPr>
        <w:t xml:space="preserve"> have </w:t>
      </w:r>
      <w:r w:rsidR="00D15795">
        <w:rPr>
          <w:rFonts w:cs="Arial"/>
        </w:rPr>
        <w:t xml:space="preserve">subsequently </w:t>
      </w:r>
      <w:r>
        <w:rPr>
          <w:rFonts w:cs="Arial"/>
        </w:rPr>
        <w:t>progressed discussions of the project in consultation with the FSCF.</w:t>
      </w:r>
    </w:p>
    <w:p w:rsidR="00FC7267" w:rsidRDefault="00FC7267" w:rsidP="00FC7267">
      <w:pPr>
        <w:rPr>
          <w:rFonts w:cs="Arial"/>
        </w:rPr>
      </w:pPr>
    </w:p>
    <w:p w:rsidR="00730352" w:rsidRDefault="00FC7267" w:rsidP="00FC7267">
      <w:pPr>
        <w:rPr>
          <w:rFonts w:cs="Arial"/>
          <w:lang w:val="en-AU"/>
        </w:rPr>
      </w:pPr>
      <w:r>
        <w:rPr>
          <w:rFonts w:cs="Arial"/>
        </w:rPr>
        <w:t>As</w:t>
      </w:r>
      <w:r w:rsidR="000B4CA0">
        <w:rPr>
          <w:rFonts w:cs="Arial"/>
          <w:lang w:val="en-AU"/>
        </w:rPr>
        <w:t xml:space="preserve"> th</w:t>
      </w:r>
      <w:r w:rsidR="007F7D87">
        <w:rPr>
          <w:rFonts w:cs="Arial"/>
          <w:lang w:val="en-AU"/>
        </w:rPr>
        <w:t xml:space="preserve">e </w:t>
      </w:r>
      <w:r w:rsidR="00A96E33">
        <w:rPr>
          <w:rFonts w:cs="Arial"/>
          <w:lang w:val="en-AU"/>
        </w:rPr>
        <w:t>topic</w:t>
      </w:r>
      <w:r w:rsidR="007F7D87">
        <w:rPr>
          <w:rFonts w:cs="Arial"/>
          <w:lang w:val="en-AU"/>
        </w:rPr>
        <w:t xml:space="preserve"> of a second MRL pilot has</w:t>
      </w:r>
      <w:r w:rsidR="000B4CA0">
        <w:rPr>
          <w:rFonts w:cs="Arial"/>
          <w:lang w:val="en-AU"/>
        </w:rPr>
        <w:t xml:space="preserve"> </w:t>
      </w:r>
      <w:r w:rsidR="007F7D87">
        <w:rPr>
          <w:rFonts w:cs="Arial"/>
          <w:lang w:val="en-AU"/>
        </w:rPr>
        <w:t xml:space="preserve">generally been discussed out-of-session and </w:t>
      </w:r>
      <w:r w:rsidR="000B4CA0">
        <w:rPr>
          <w:rFonts w:cs="Arial"/>
          <w:lang w:val="en-AU"/>
        </w:rPr>
        <w:t xml:space="preserve">not </w:t>
      </w:r>
      <w:r w:rsidR="00D15795">
        <w:rPr>
          <w:rFonts w:cs="Arial"/>
          <w:lang w:val="en-AU"/>
        </w:rPr>
        <w:t xml:space="preserve">yet formally </w:t>
      </w:r>
      <w:r w:rsidR="000B4CA0">
        <w:rPr>
          <w:rFonts w:cs="Arial"/>
          <w:lang w:val="en-AU"/>
        </w:rPr>
        <w:t xml:space="preserve">agreed by FSCF members, </w:t>
      </w:r>
      <w:r w:rsidR="007F7D87">
        <w:rPr>
          <w:rFonts w:cs="Arial"/>
          <w:lang w:val="en-AU"/>
        </w:rPr>
        <w:t xml:space="preserve">it is proposed that </w:t>
      </w:r>
      <w:r w:rsidR="00D00C28" w:rsidRPr="00FD014D">
        <w:rPr>
          <w:rFonts w:cs="Arial"/>
          <w:lang w:val="en-AU"/>
        </w:rPr>
        <w:t>the issue</w:t>
      </w:r>
      <w:r w:rsidR="00D00C28">
        <w:rPr>
          <w:rFonts w:cs="Arial"/>
          <w:lang w:val="en-AU"/>
        </w:rPr>
        <w:t xml:space="preserve"> </w:t>
      </w:r>
      <w:r w:rsidR="007F7D87">
        <w:rPr>
          <w:rFonts w:cs="Arial"/>
          <w:lang w:val="en-AU"/>
        </w:rPr>
        <w:t xml:space="preserve">is considered at </w:t>
      </w:r>
      <w:r w:rsidR="00D15795">
        <w:rPr>
          <w:rFonts w:cs="Arial"/>
          <w:lang w:val="en-AU"/>
        </w:rPr>
        <w:t xml:space="preserve">the current </w:t>
      </w:r>
      <w:r w:rsidR="007F7D87">
        <w:rPr>
          <w:rFonts w:cs="Arial"/>
          <w:lang w:val="en-AU"/>
        </w:rPr>
        <w:t>meeting. The economies could then nominate the specific tropical commodity</w:t>
      </w:r>
      <w:r w:rsidR="007F7D87" w:rsidRPr="00A5327A">
        <w:rPr>
          <w:rFonts w:cs="Arial"/>
          <w:lang w:val="en-AU"/>
        </w:rPr>
        <w:t xml:space="preserve"> to be used as a </w:t>
      </w:r>
      <w:r w:rsidR="007F7D87" w:rsidRPr="00A5327A">
        <w:rPr>
          <w:rFonts w:cs="Arial"/>
          <w:bCs/>
          <w:lang w:val="en-AU"/>
        </w:rPr>
        <w:t xml:space="preserve">second </w:t>
      </w:r>
      <w:r w:rsidR="007F7D87" w:rsidRPr="00A5327A">
        <w:rPr>
          <w:rFonts w:cs="Arial"/>
          <w:lang w:val="en-AU"/>
        </w:rPr>
        <w:t>MRL</w:t>
      </w:r>
      <w:r w:rsidR="007F7D87" w:rsidRPr="00A5327A">
        <w:rPr>
          <w:rFonts w:cs="Arial"/>
          <w:bCs/>
          <w:lang w:val="en-AU"/>
        </w:rPr>
        <w:t xml:space="preserve"> p</w:t>
      </w:r>
      <w:r w:rsidR="007F7D87" w:rsidRPr="00A5327A">
        <w:rPr>
          <w:rFonts w:cs="Arial"/>
          <w:lang w:val="en-AU"/>
        </w:rPr>
        <w:t>ilot study</w:t>
      </w:r>
      <w:r w:rsidR="007F7D87">
        <w:rPr>
          <w:rFonts w:cs="Arial"/>
          <w:lang w:val="en-AU"/>
        </w:rPr>
        <w:t>,</w:t>
      </w:r>
      <w:r w:rsidR="007F7D87" w:rsidRPr="00A5327A">
        <w:rPr>
          <w:rFonts w:cs="Arial"/>
          <w:lang w:val="en-AU"/>
        </w:rPr>
        <w:t xml:space="preserve"> or </w:t>
      </w:r>
      <w:r w:rsidR="007F7D87">
        <w:rPr>
          <w:rFonts w:cs="Arial"/>
          <w:lang w:val="en-AU"/>
        </w:rPr>
        <w:t xml:space="preserve">decide on </w:t>
      </w:r>
      <w:r w:rsidR="001E3D9D">
        <w:rPr>
          <w:rFonts w:cs="Arial"/>
          <w:lang w:val="en-AU"/>
        </w:rPr>
        <w:t>an</w:t>
      </w:r>
      <w:r w:rsidR="007F7D87" w:rsidRPr="00A5327A">
        <w:rPr>
          <w:rFonts w:cs="Arial"/>
          <w:lang w:val="en-AU"/>
        </w:rPr>
        <w:t>other releva</w:t>
      </w:r>
      <w:r w:rsidR="007F7D87">
        <w:rPr>
          <w:rFonts w:cs="Arial"/>
          <w:lang w:val="en-AU"/>
        </w:rPr>
        <w:t>nt commodity</w:t>
      </w:r>
      <w:r w:rsidR="00A96E33">
        <w:rPr>
          <w:rFonts w:cs="Arial"/>
          <w:lang w:val="en-AU"/>
        </w:rPr>
        <w:t>.</w:t>
      </w:r>
      <w:r w:rsidR="007F7D87" w:rsidRPr="00A5327A">
        <w:rPr>
          <w:rFonts w:cs="Arial"/>
          <w:lang w:val="en-AU"/>
        </w:rPr>
        <w:t xml:space="preserve"> </w:t>
      </w:r>
    </w:p>
    <w:p w:rsidR="00F024FD" w:rsidRDefault="00F024FD" w:rsidP="00A53C6E">
      <w:pPr>
        <w:rPr>
          <w:rFonts w:cs="Arial"/>
        </w:rPr>
      </w:pPr>
    </w:p>
    <w:p w:rsidR="00287496" w:rsidRDefault="00287496" w:rsidP="00A53C6E">
      <w:pPr>
        <w:rPr>
          <w:rFonts w:cs="Arial"/>
          <w:b/>
        </w:rPr>
      </w:pPr>
    </w:p>
    <w:p w:rsidR="001E3D9D" w:rsidRDefault="001E3D9D">
      <w:pPr>
        <w:rPr>
          <w:rFonts w:cs="Arial"/>
          <w:b/>
        </w:rPr>
      </w:pPr>
      <w:r>
        <w:rPr>
          <w:rFonts w:cs="Arial"/>
          <w:b/>
        </w:rPr>
        <w:br w:type="page"/>
      </w:r>
    </w:p>
    <w:p w:rsidR="00E76939" w:rsidRPr="00A53C6E" w:rsidRDefault="00E76939" w:rsidP="00A53C6E">
      <w:pPr>
        <w:rPr>
          <w:rFonts w:eastAsia="PMingLiU" w:cs="Arial"/>
          <w:b/>
          <w:bCs/>
        </w:rPr>
      </w:pPr>
      <w:r w:rsidRPr="0089492F">
        <w:rPr>
          <w:rFonts w:cs="Arial"/>
          <w:b/>
        </w:rPr>
        <w:lastRenderedPageBreak/>
        <w:t xml:space="preserve">Priority areas of action to progress MRL pilot project and suggested timelines </w:t>
      </w:r>
    </w:p>
    <w:p w:rsidR="00E76939" w:rsidRPr="00E86AB1" w:rsidRDefault="00E76939" w:rsidP="00E76939">
      <w:pPr>
        <w:spacing w:line="360" w:lineRule="auto"/>
        <w:rPr>
          <w:rFonts w:cs="Arial"/>
          <w:b/>
          <w:sz w:val="20"/>
          <w:szCs w:val="20"/>
          <w:lang w:val="en-AU"/>
        </w:rPr>
      </w:pPr>
    </w:p>
    <w:tbl>
      <w:tblPr>
        <w:tblStyle w:val="TableGrid"/>
        <w:tblW w:w="0" w:type="auto"/>
        <w:tblLayout w:type="fixed"/>
        <w:tblLook w:val="04A0" w:firstRow="1" w:lastRow="0" w:firstColumn="1" w:lastColumn="0" w:noHBand="0" w:noVBand="1"/>
      </w:tblPr>
      <w:tblGrid>
        <w:gridCol w:w="4644"/>
        <w:gridCol w:w="2127"/>
        <w:gridCol w:w="2515"/>
      </w:tblGrid>
      <w:tr w:rsidR="00E76939" w:rsidTr="004C480D">
        <w:tc>
          <w:tcPr>
            <w:tcW w:w="4644" w:type="dxa"/>
          </w:tcPr>
          <w:p w:rsidR="00B43693" w:rsidRPr="006F4E82" w:rsidRDefault="00E76939" w:rsidP="006F4E82">
            <w:pPr>
              <w:pStyle w:val="APECForm"/>
              <w:spacing w:before="0" w:after="0" w:line="360" w:lineRule="auto"/>
              <w:jc w:val="center"/>
              <w:rPr>
                <w:rFonts w:cs="Arial"/>
                <w:b/>
              </w:rPr>
            </w:pPr>
            <w:r w:rsidRPr="00E6322D">
              <w:rPr>
                <w:rFonts w:cs="Arial"/>
                <w:b/>
              </w:rPr>
              <w:t>Work</w:t>
            </w:r>
          </w:p>
        </w:tc>
        <w:tc>
          <w:tcPr>
            <w:tcW w:w="2127" w:type="dxa"/>
          </w:tcPr>
          <w:p w:rsidR="00E76939" w:rsidRPr="00E6322D" w:rsidRDefault="00E76939" w:rsidP="004C480D">
            <w:pPr>
              <w:pStyle w:val="APECForm"/>
              <w:spacing w:before="0" w:after="0" w:line="360" w:lineRule="auto"/>
              <w:jc w:val="center"/>
              <w:rPr>
                <w:rFonts w:cs="Arial"/>
                <w:b/>
              </w:rPr>
            </w:pPr>
            <w:r w:rsidRPr="00E6322D">
              <w:rPr>
                <w:rFonts w:cs="Arial"/>
                <w:b/>
              </w:rPr>
              <w:t>Date</w:t>
            </w:r>
          </w:p>
        </w:tc>
        <w:tc>
          <w:tcPr>
            <w:tcW w:w="2515" w:type="dxa"/>
          </w:tcPr>
          <w:p w:rsidR="00E76939" w:rsidRPr="00E6322D" w:rsidRDefault="006F4E82" w:rsidP="004C480D">
            <w:pPr>
              <w:pStyle w:val="APECForm"/>
              <w:spacing w:before="0" w:after="0" w:line="360" w:lineRule="auto"/>
              <w:jc w:val="center"/>
              <w:rPr>
                <w:rFonts w:cs="Arial"/>
                <w:b/>
              </w:rPr>
            </w:pPr>
            <w:r>
              <w:rPr>
                <w:rFonts w:cs="Arial"/>
                <w:b/>
              </w:rPr>
              <w:t>Comment</w:t>
            </w:r>
            <w:r w:rsidR="00D00C28">
              <w:rPr>
                <w:rFonts w:cs="Arial"/>
                <w:b/>
              </w:rPr>
              <w:t xml:space="preserve">     </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 xml:space="preserve">Agreement and adoption of the </w:t>
            </w:r>
            <w:r w:rsidRPr="00E7195F">
              <w:rPr>
                <w:rFonts w:cs="Arial"/>
                <w:i/>
              </w:rPr>
              <w:t>Broad Principles</w:t>
            </w:r>
            <w:r>
              <w:rPr>
                <w:rFonts w:cs="Arial"/>
              </w:rPr>
              <w:t xml:space="preserve"> for regulatory convergence of pesticid</w:t>
            </w:r>
            <w:r w:rsidR="0089492F">
              <w:rPr>
                <w:rFonts w:cs="Arial"/>
              </w:rPr>
              <w:t>e MRLs as per APEC FSCF Roadmap</w:t>
            </w:r>
          </w:p>
        </w:tc>
        <w:tc>
          <w:tcPr>
            <w:tcW w:w="2127" w:type="dxa"/>
          </w:tcPr>
          <w:p w:rsidR="00E76939" w:rsidRDefault="00E76939" w:rsidP="004C480D">
            <w:pPr>
              <w:pStyle w:val="APECForm"/>
              <w:spacing w:before="0" w:after="0" w:line="360" w:lineRule="auto"/>
              <w:rPr>
                <w:rFonts w:cs="Arial"/>
              </w:rPr>
            </w:pPr>
            <w:r>
              <w:rPr>
                <w:rFonts w:cs="Arial"/>
              </w:rPr>
              <w:t>September 2014 meeting</w:t>
            </w:r>
          </w:p>
        </w:tc>
        <w:tc>
          <w:tcPr>
            <w:tcW w:w="2515" w:type="dxa"/>
          </w:tcPr>
          <w:p w:rsidR="00E76939" w:rsidRDefault="006F4E82" w:rsidP="004C480D">
            <w:pPr>
              <w:pStyle w:val="APECForm"/>
              <w:spacing w:before="0" w:after="0" w:line="360" w:lineRule="auto"/>
              <w:rPr>
                <w:rFonts w:cs="Arial"/>
              </w:rPr>
            </w:pPr>
            <w:r>
              <w:rPr>
                <w:rFonts w:cs="Arial"/>
              </w:rPr>
              <w:t xml:space="preserve">Held in </w:t>
            </w:r>
            <w:r w:rsidR="00E76939">
              <w:rPr>
                <w:rFonts w:cs="Arial"/>
              </w:rPr>
              <w:t>Beijing, China</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 xml:space="preserve">Agreement </w:t>
            </w:r>
            <w:r w:rsidRPr="00FD014D">
              <w:rPr>
                <w:rFonts w:cs="Arial"/>
              </w:rPr>
              <w:t>on the testing principles used for the Wine MRLs pilot and assess</w:t>
            </w:r>
            <w:r w:rsidR="00FD014D" w:rsidRPr="00FD014D">
              <w:rPr>
                <w:rFonts w:cs="Arial"/>
              </w:rPr>
              <w:t>ment of the</w:t>
            </w:r>
            <w:r w:rsidRPr="00FD014D">
              <w:rPr>
                <w:rFonts w:cs="Arial"/>
              </w:rPr>
              <w:t xml:space="preserve"> relevance to other pilots.</w:t>
            </w:r>
            <w:r>
              <w:rPr>
                <w:rFonts w:cs="Arial"/>
              </w:rPr>
              <w:t xml:space="preserve">  </w:t>
            </w:r>
          </w:p>
        </w:tc>
        <w:tc>
          <w:tcPr>
            <w:tcW w:w="2127" w:type="dxa"/>
          </w:tcPr>
          <w:p w:rsidR="00E76939" w:rsidRDefault="00E76939" w:rsidP="004C480D">
            <w:pPr>
              <w:pStyle w:val="APECForm"/>
              <w:spacing w:before="0" w:after="0" w:line="360" w:lineRule="auto"/>
              <w:rPr>
                <w:rFonts w:cs="Arial"/>
              </w:rPr>
            </w:pPr>
            <w:r>
              <w:rPr>
                <w:rFonts w:cs="Arial"/>
              </w:rPr>
              <w:t xml:space="preserve">September 2014 </w:t>
            </w:r>
          </w:p>
        </w:tc>
        <w:tc>
          <w:tcPr>
            <w:tcW w:w="2515" w:type="dxa"/>
          </w:tcPr>
          <w:p w:rsidR="00E76939" w:rsidRDefault="006F4E82" w:rsidP="004C480D">
            <w:pPr>
              <w:pStyle w:val="APECForm"/>
              <w:spacing w:before="0" w:after="0" w:line="360" w:lineRule="auto"/>
              <w:rPr>
                <w:rFonts w:cs="Arial"/>
              </w:rPr>
            </w:pPr>
            <w:r>
              <w:rPr>
                <w:rFonts w:cs="Arial"/>
              </w:rPr>
              <w:t xml:space="preserve">Held in </w:t>
            </w:r>
            <w:r w:rsidR="00E76939">
              <w:rPr>
                <w:rFonts w:cs="Arial"/>
              </w:rPr>
              <w:t>Beijing, China</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Discussion between members of the APEC Sub-committee for Standards and Conformance and Trade Ministers regarding how the adopted broad pr</w:t>
            </w:r>
            <w:r w:rsidR="0089492F">
              <w:rPr>
                <w:rFonts w:cs="Arial"/>
              </w:rPr>
              <w:t>inciples could be implemented</w:t>
            </w:r>
          </w:p>
        </w:tc>
        <w:tc>
          <w:tcPr>
            <w:tcW w:w="2127" w:type="dxa"/>
          </w:tcPr>
          <w:p w:rsidR="00E76939" w:rsidRDefault="00E76939" w:rsidP="004C480D">
            <w:pPr>
              <w:pStyle w:val="APECForm"/>
              <w:spacing w:before="0" w:after="0" w:line="360" w:lineRule="auto"/>
              <w:rPr>
                <w:rFonts w:cs="Arial"/>
              </w:rPr>
            </w:pPr>
            <w:r>
              <w:rPr>
                <w:rFonts w:cs="Arial"/>
              </w:rPr>
              <w:t xml:space="preserve">September 2014 to April 2015 </w:t>
            </w:r>
          </w:p>
        </w:tc>
        <w:tc>
          <w:tcPr>
            <w:tcW w:w="2515" w:type="dxa"/>
          </w:tcPr>
          <w:p w:rsidR="00E76939" w:rsidRDefault="00E76939" w:rsidP="004C480D">
            <w:pPr>
              <w:pStyle w:val="APECForm"/>
              <w:spacing w:before="0" w:after="0" w:line="360" w:lineRule="auto"/>
              <w:rPr>
                <w:rFonts w:cs="Arial"/>
              </w:rPr>
            </w:pPr>
            <w:r>
              <w:rPr>
                <w:rFonts w:cs="Arial"/>
              </w:rPr>
              <w:t>Out-of –session  activity by the economies involved</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Development of a register of member economies with systems to recognise MRLs from Codex or other regulatory</w:t>
            </w:r>
            <w:r w:rsidR="0089492F">
              <w:rPr>
                <w:rFonts w:cs="Arial"/>
              </w:rPr>
              <w:t xml:space="preserve"> authorities in the APEC region</w:t>
            </w:r>
          </w:p>
        </w:tc>
        <w:tc>
          <w:tcPr>
            <w:tcW w:w="2127" w:type="dxa"/>
          </w:tcPr>
          <w:p w:rsidR="00E76939" w:rsidRDefault="00E76939" w:rsidP="004C480D">
            <w:pPr>
              <w:pStyle w:val="APECForm"/>
              <w:spacing w:before="0" w:after="0" w:line="360" w:lineRule="auto"/>
              <w:rPr>
                <w:rFonts w:cs="Arial"/>
              </w:rPr>
            </w:pPr>
            <w:r>
              <w:rPr>
                <w:rFonts w:cs="Arial"/>
              </w:rPr>
              <w:t>October 2014</w:t>
            </w:r>
          </w:p>
        </w:tc>
        <w:tc>
          <w:tcPr>
            <w:tcW w:w="2515" w:type="dxa"/>
          </w:tcPr>
          <w:p w:rsidR="00E76939" w:rsidRDefault="00E76939" w:rsidP="004C480D">
            <w:pPr>
              <w:pStyle w:val="APECForm"/>
              <w:spacing w:before="0" w:after="0" w:line="360" w:lineRule="auto"/>
              <w:rPr>
                <w:rFonts w:cs="Arial"/>
              </w:rPr>
            </w:pPr>
            <w:r>
              <w:rPr>
                <w:rFonts w:cs="Arial"/>
              </w:rPr>
              <w:t>Out-of-session by members of the working group</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 xml:space="preserve">Provision of list of member economies’ CCPR delegates to the FSCF Secretariat </w:t>
            </w:r>
          </w:p>
        </w:tc>
        <w:tc>
          <w:tcPr>
            <w:tcW w:w="2127" w:type="dxa"/>
          </w:tcPr>
          <w:p w:rsidR="00E76939" w:rsidRDefault="00E76939" w:rsidP="004C480D">
            <w:pPr>
              <w:pStyle w:val="APECForm"/>
              <w:spacing w:before="0" w:after="0" w:line="360" w:lineRule="auto"/>
              <w:rPr>
                <w:rFonts w:cs="Arial"/>
              </w:rPr>
            </w:pPr>
            <w:r>
              <w:rPr>
                <w:rFonts w:cs="Arial"/>
              </w:rPr>
              <w:t>October 2014</w:t>
            </w:r>
          </w:p>
        </w:tc>
        <w:tc>
          <w:tcPr>
            <w:tcW w:w="2515" w:type="dxa"/>
          </w:tcPr>
          <w:p w:rsidR="00E76939" w:rsidRPr="00B43693" w:rsidRDefault="00E76939" w:rsidP="004C480D">
            <w:pPr>
              <w:pStyle w:val="APECForm"/>
              <w:spacing w:before="0" w:after="0" w:line="360" w:lineRule="auto"/>
              <w:rPr>
                <w:rFonts w:cs="Arial"/>
                <w:color w:val="0000CC"/>
              </w:rPr>
            </w:pPr>
          </w:p>
        </w:tc>
      </w:tr>
      <w:tr w:rsidR="00E76939" w:rsidTr="004C480D">
        <w:trPr>
          <w:trHeight w:val="1408"/>
        </w:trPr>
        <w:tc>
          <w:tcPr>
            <w:tcW w:w="4644" w:type="dxa"/>
          </w:tcPr>
          <w:p w:rsidR="00E76939" w:rsidRDefault="00E76939" w:rsidP="004C480D">
            <w:pPr>
              <w:pStyle w:val="APECForm"/>
              <w:spacing w:before="0" w:after="0" w:line="360" w:lineRule="auto"/>
              <w:rPr>
                <w:rFonts w:cs="Arial"/>
              </w:rPr>
            </w:pPr>
            <w:r>
              <w:rPr>
                <w:rFonts w:cs="Arial"/>
              </w:rPr>
              <w:t>Compilation of data on wine MRLs within the APEC region</w:t>
            </w:r>
          </w:p>
        </w:tc>
        <w:tc>
          <w:tcPr>
            <w:tcW w:w="2127" w:type="dxa"/>
          </w:tcPr>
          <w:p w:rsidR="00E76939" w:rsidRDefault="00E76939" w:rsidP="004C480D">
            <w:pPr>
              <w:pStyle w:val="APECForm"/>
              <w:spacing w:before="0" w:after="0" w:line="360" w:lineRule="auto"/>
              <w:rPr>
                <w:rFonts w:cs="Arial"/>
              </w:rPr>
            </w:pPr>
            <w:r>
              <w:rPr>
                <w:rFonts w:cs="Arial"/>
              </w:rPr>
              <w:t>November 2014</w:t>
            </w:r>
          </w:p>
        </w:tc>
        <w:tc>
          <w:tcPr>
            <w:tcW w:w="2515" w:type="dxa"/>
          </w:tcPr>
          <w:p w:rsidR="00E76939" w:rsidRDefault="00E76939" w:rsidP="004C480D">
            <w:pPr>
              <w:pStyle w:val="APECForm"/>
              <w:spacing w:before="0" w:after="0" w:line="360" w:lineRule="auto"/>
              <w:rPr>
                <w:rFonts w:cs="Arial"/>
              </w:rPr>
            </w:pPr>
            <w:r>
              <w:rPr>
                <w:rFonts w:cs="Arial"/>
              </w:rPr>
              <w:t>Out-of-session work by WRF.</w:t>
            </w:r>
          </w:p>
          <w:p w:rsidR="00E76939" w:rsidRDefault="00E76939" w:rsidP="004C480D">
            <w:pPr>
              <w:pStyle w:val="APECForm"/>
              <w:spacing w:before="0" w:after="0" w:line="360" w:lineRule="auto"/>
              <w:rPr>
                <w:rFonts w:cs="Arial"/>
              </w:rPr>
            </w:pPr>
            <w:r>
              <w:rPr>
                <w:rFonts w:cs="Arial"/>
              </w:rPr>
              <w:t xml:space="preserve">First progress report in February 2015. </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Data sharing and information exchange processes</w:t>
            </w:r>
          </w:p>
        </w:tc>
        <w:tc>
          <w:tcPr>
            <w:tcW w:w="2127" w:type="dxa"/>
          </w:tcPr>
          <w:p w:rsidR="00E76939" w:rsidRDefault="00E76939" w:rsidP="004C480D">
            <w:pPr>
              <w:pStyle w:val="APECForm"/>
              <w:spacing w:before="0" w:after="0" w:line="360" w:lineRule="auto"/>
              <w:rPr>
                <w:rFonts w:cs="Arial"/>
              </w:rPr>
            </w:pPr>
            <w:r>
              <w:rPr>
                <w:rFonts w:cs="Arial"/>
              </w:rPr>
              <w:t>November 2014</w:t>
            </w:r>
          </w:p>
        </w:tc>
        <w:tc>
          <w:tcPr>
            <w:tcW w:w="2515" w:type="dxa"/>
          </w:tcPr>
          <w:p w:rsidR="00E76939" w:rsidRDefault="00E76939" w:rsidP="004C480D">
            <w:pPr>
              <w:pStyle w:val="APECForm"/>
              <w:spacing w:before="0" w:after="0" w:line="360" w:lineRule="auto"/>
              <w:rPr>
                <w:rFonts w:cs="Arial"/>
              </w:rPr>
            </w:pPr>
            <w:r>
              <w:rPr>
                <w:rFonts w:cs="Arial"/>
              </w:rPr>
              <w:t>Out-of-session work.</w:t>
            </w:r>
          </w:p>
          <w:p w:rsidR="00E76939" w:rsidRDefault="00E76939" w:rsidP="004C480D">
            <w:pPr>
              <w:pStyle w:val="APECForm"/>
              <w:spacing w:before="0" w:after="0" w:line="360" w:lineRule="auto"/>
              <w:rPr>
                <w:rFonts w:cs="Arial"/>
              </w:rPr>
            </w:pPr>
          </w:p>
        </w:tc>
      </w:tr>
      <w:tr w:rsidR="00E76939" w:rsidTr="004C480D">
        <w:tc>
          <w:tcPr>
            <w:tcW w:w="4644" w:type="dxa"/>
          </w:tcPr>
          <w:p w:rsidR="00E76939" w:rsidRDefault="00E76939" w:rsidP="00FD014D">
            <w:pPr>
              <w:pStyle w:val="APECForm"/>
              <w:spacing w:before="0" w:after="0" w:line="360" w:lineRule="auto"/>
              <w:rPr>
                <w:rFonts w:cs="Arial"/>
              </w:rPr>
            </w:pPr>
            <w:r>
              <w:rPr>
                <w:rFonts w:cs="Arial"/>
              </w:rPr>
              <w:t>Creat</w:t>
            </w:r>
            <w:r w:rsidR="00FD014D">
              <w:rPr>
                <w:rFonts w:cs="Arial"/>
              </w:rPr>
              <w:t>ion of</w:t>
            </w:r>
            <w:r>
              <w:rPr>
                <w:rFonts w:cs="Arial"/>
              </w:rPr>
              <w:t xml:space="preserve"> a working group for the 2</w:t>
            </w:r>
            <w:r w:rsidRPr="007E4232">
              <w:rPr>
                <w:rFonts w:cs="Arial"/>
                <w:vertAlign w:val="superscript"/>
              </w:rPr>
              <w:t>nd</w:t>
            </w:r>
            <w:r>
              <w:rPr>
                <w:rFonts w:cs="Arial"/>
              </w:rPr>
              <w:t xml:space="preserve"> MRL pilot</w:t>
            </w:r>
          </w:p>
        </w:tc>
        <w:tc>
          <w:tcPr>
            <w:tcW w:w="2127" w:type="dxa"/>
          </w:tcPr>
          <w:p w:rsidR="00E76939" w:rsidRDefault="00E76939" w:rsidP="004C480D">
            <w:pPr>
              <w:pStyle w:val="APECForm"/>
              <w:spacing w:before="0" w:after="0" w:line="360" w:lineRule="auto"/>
              <w:rPr>
                <w:rFonts w:cs="Arial"/>
              </w:rPr>
            </w:pPr>
            <w:r>
              <w:rPr>
                <w:rFonts w:cs="Arial"/>
              </w:rPr>
              <w:t>November/December 2014</w:t>
            </w:r>
          </w:p>
        </w:tc>
        <w:tc>
          <w:tcPr>
            <w:tcW w:w="2515" w:type="dxa"/>
          </w:tcPr>
          <w:p w:rsidR="00E76939" w:rsidRDefault="00E76939" w:rsidP="004C480D">
            <w:pPr>
              <w:pStyle w:val="APECForm"/>
              <w:spacing w:before="0" w:after="0" w:line="360" w:lineRule="auto"/>
              <w:rPr>
                <w:rFonts w:cs="Arial"/>
              </w:rPr>
            </w:pPr>
            <w:r>
              <w:rPr>
                <w:rFonts w:cs="Arial"/>
              </w:rPr>
              <w:t>Out-of-session work. Philippines and collaborating member economies</w:t>
            </w:r>
          </w:p>
        </w:tc>
      </w:tr>
      <w:tr w:rsidR="00E76939" w:rsidTr="004C480D">
        <w:tc>
          <w:tcPr>
            <w:tcW w:w="4644" w:type="dxa"/>
          </w:tcPr>
          <w:p w:rsidR="00E76939" w:rsidRDefault="00E76939" w:rsidP="004C480D">
            <w:pPr>
              <w:pStyle w:val="APECForm"/>
              <w:spacing w:before="0" w:after="0" w:line="360" w:lineRule="auto"/>
              <w:rPr>
                <w:rFonts w:cs="Arial"/>
              </w:rPr>
            </w:pPr>
            <w:r>
              <w:rPr>
                <w:rFonts w:cs="Arial"/>
              </w:rPr>
              <w:t>Philippines to prepare a draft roadmap for the agreed 2</w:t>
            </w:r>
            <w:r w:rsidRPr="00FF63DC">
              <w:rPr>
                <w:rFonts w:cs="Arial"/>
                <w:vertAlign w:val="superscript"/>
              </w:rPr>
              <w:t>nd</w:t>
            </w:r>
            <w:r>
              <w:rPr>
                <w:rFonts w:cs="Arial"/>
              </w:rPr>
              <w:t xml:space="preserve"> MRL pilot – tropical fruits, mango</w:t>
            </w:r>
          </w:p>
        </w:tc>
        <w:tc>
          <w:tcPr>
            <w:tcW w:w="2127" w:type="dxa"/>
          </w:tcPr>
          <w:p w:rsidR="00E76939" w:rsidRDefault="00E76939" w:rsidP="004C480D">
            <w:pPr>
              <w:pStyle w:val="APECForm"/>
              <w:spacing w:before="0" w:after="0" w:line="360" w:lineRule="auto"/>
              <w:rPr>
                <w:rFonts w:cs="Arial"/>
              </w:rPr>
            </w:pPr>
            <w:r>
              <w:rPr>
                <w:rFonts w:cs="Arial"/>
              </w:rPr>
              <w:t>April 2015</w:t>
            </w:r>
          </w:p>
        </w:tc>
        <w:tc>
          <w:tcPr>
            <w:tcW w:w="2515" w:type="dxa"/>
          </w:tcPr>
          <w:p w:rsidR="00E76939" w:rsidRDefault="006F4E82" w:rsidP="004C480D">
            <w:pPr>
              <w:pStyle w:val="APECForm"/>
              <w:spacing w:before="0" w:after="0" w:line="360" w:lineRule="auto"/>
              <w:rPr>
                <w:rFonts w:cs="Arial"/>
              </w:rPr>
            </w:pPr>
            <w:r>
              <w:rPr>
                <w:rFonts w:cs="Arial"/>
              </w:rPr>
              <w:t xml:space="preserve">Proposed </w:t>
            </w:r>
            <w:r w:rsidR="00DC72DE">
              <w:rPr>
                <w:rFonts w:cs="Arial"/>
              </w:rPr>
              <w:t xml:space="preserve">FSCF </w:t>
            </w:r>
            <w:r w:rsidR="00E76939">
              <w:rPr>
                <w:rFonts w:cs="Arial"/>
              </w:rPr>
              <w:t>Meeting in Philippines</w:t>
            </w:r>
          </w:p>
        </w:tc>
      </w:tr>
      <w:tr w:rsidR="00E76939" w:rsidTr="004C480D">
        <w:tc>
          <w:tcPr>
            <w:tcW w:w="4644" w:type="dxa"/>
          </w:tcPr>
          <w:p w:rsidR="00E76939" w:rsidRPr="00BC084E" w:rsidRDefault="00E76939" w:rsidP="004C480D">
            <w:pPr>
              <w:spacing w:line="276" w:lineRule="auto"/>
              <w:rPr>
                <w:sz w:val="20"/>
                <w:szCs w:val="20"/>
                <w:lang w:val="en-AU"/>
              </w:rPr>
            </w:pPr>
            <w:r w:rsidRPr="00BC084E">
              <w:rPr>
                <w:sz w:val="20"/>
                <w:szCs w:val="20"/>
                <w:lang w:val="en-AU"/>
              </w:rPr>
              <w:t>Wine Regulatory Forum to report on progress:</w:t>
            </w:r>
          </w:p>
          <w:p w:rsidR="00E76939" w:rsidRPr="00BC084E" w:rsidRDefault="00E76939" w:rsidP="00151E7A">
            <w:pPr>
              <w:pStyle w:val="ListParagraph"/>
              <w:numPr>
                <w:ilvl w:val="0"/>
                <w:numId w:val="8"/>
              </w:numPr>
              <w:spacing w:line="276" w:lineRule="auto"/>
              <w:rPr>
                <w:sz w:val="20"/>
                <w:szCs w:val="20"/>
                <w:lang w:val="en-AU"/>
              </w:rPr>
            </w:pPr>
            <w:r w:rsidRPr="00BC084E">
              <w:rPr>
                <w:sz w:val="20"/>
                <w:szCs w:val="20"/>
                <w:lang w:val="en-AU"/>
              </w:rPr>
              <w:t>Priority MRLs</w:t>
            </w:r>
          </w:p>
          <w:p w:rsidR="00E76939" w:rsidRPr="00BC084E" w:rsidRDefault="00E76939" w:rsidP="00151E7A">
            <w:pPr>
              <w:pStyle w:val="ListParagraph"/>
              <w:numPr>
                <w:ilvl w:val="0"/>
                <w:numId w:val="8"/>
              </w:numPr>
              <w:spacing w:line="276" w:lineRule="auto"/>
              <w:rPr>
                <w:sz w:val="20"/>
                <w:szCs w:val="20"/>
                <w:lang w:val="en-AU"/>
              </w:rPr>
            </w:pPr>
            <w:r w:rsidRPr="00BC084E">
              <w:rPr>
                <w:sz w:val="20"/>
                <w:szCs w:val="20"/>
                <w:lang w:val="en-AU"/>
              </w:rPr>
              <w:t>Cost of non-harmonised MRLs</w:t>
            </w:r>
          </w:p>
          <w:p w:rsidR="00E76939" w:rsidRPr="00BC084E" w:rsidRDefault="00E76939" w:rsidP="00151E7A">
            <w:pPr>
              <w:pStyle w:val="ListParagraph"/>
              <w:numPr>
                <w:ilvl w:val="0"/>
                <w:numId w:val="8"/>
              </w:numPr>
              <w:spacing w:line="276" w:lineRule="auto"/>
              <w:rPr>
                <w:sz w:val="20"/>
                <w:szCs w:val="20"/>
                <w:lang w:val="en-AU"/>
              </w:rPr>
            </w:pPr>
            <w:r w:rsidRPr="00BC084E">
              <w:rPr>
                <w:sz w:val="20"/>
                <w:szCs w:val="20"/>
                <w:lang w:val="en-AU"/>
              </w:rPr>
              <w:t>World Wine Trade Group actions</w:t>
            </w:r>
          </w:p>
          <w:p w:rsidR="00E76939" w:rsidRPr="00BC084E" w:rsidRDefault="00E76939" w:rsidP="00151E7A">
            <w:pPr>
              <w:pStyle w:val="ListParagraph"/>
              <w:numPr>
                <w:ilvl w:val="0"/>
                <w:numId w:val="8"/>
              </w:numPr>
              <w:spacing w:line="276" w:lineRule="auto"/>
              <w:rPr>
                <w:sz w:val="20"/>
                <w:szCs w:val="20"/>
                <w:lang w:val="en-AU"/>
              </w:rPr>
            </w:pPr>
            <w:r w:rsidRPr="00BC084E">
              <w:rPr>
                <w:sz w:val="20"/>
                <w:szCs w:val="20"/>
              </w:rPr>
              <w:t>Identify and assess the need for processing factors.</w:t>
            </w:r>
          </w:p>
          <w:p w:rsidR="00E76939" w:rsidRPr="00BC084E" w:rsidRDefault="00E76939" w:rsidP="00151E7A">
            <w:pPr>
              <w:pStyle w:val="ListParagraph"/>
              <w:numPr>
                <w:ilvl w:val="0"/>
                <w:numId w:val="8"/>
              </w:numPr>
              <w:spacing w:line="276" w:lineRule="auto"/>
              <w:rPr>
                <w:sz w:val="20"/>
                <w:szCs w:val="20"/>
                <w:lang w:val="en-AU"/>
              </w:rPr>
            </w:pPr>
            <w:r w:rsidRPr="00BC084E">
              <w:rPr>
                <w:sz w:val="20"/>
                <w:szCs w:val="20"/>
                <w:lang w:val="en-AU"/>
              </w:rPr>
              <w:t>Status of MRL database</w:t>
            </w:r>
          </w:p>
        </w:tc>
        <w:tc>
          <w:tcPr>
            <w:tcW w:w="2127" w:type="dxa"/>
          </w:tcPr>
          <w:p w:rsidR="00E76939" w:rsidRDefault="00E76939" w:rsidP="004C480D">
            <w:pPr>
              <w:pStyle w:val="APECForm"/>
              <w:spacing w:before="0" w:after="0" w:line="360" w:lineRule="auto"/>
              <w:rPr>
                <w:rFonts w:cs="Arial"/>
              </w:rPr>
            </w:pPr>
          </w:p>
          <w:p w:rsidR="00E76939" w:rsidRDefault="00E76939" w:rsidP="004C480D">
            <w:pPr>
              <w:pStyle w:val="APECForm"/>
              <w:spacing w:before="0" w:after="0" w:line="360" w:lineRule="auto"/>
              <w:rPr>
                <w:rFonts w:cs="Arial"/>
              </w:rPr>
            </w:pPr>
            <w:r>
              <w:rPr>
                <w:rFonts w:cs="Arial"/>
              </w:rPr>
              <w:t>April 2015</w:t>
            </w:r>
          </w:p>
          <w:p w:rsidR="00E76939" w:rsidRDefault="00E76939" w:rsidP="004C480D">
            <w:pPr>
              <w:pStyle w:val="APECForm"/>
              <w:spacing w:before="0" w:after="0" w:line="360" w:lineRule="auto"/>
              <w:rPr>
                <w:rFonts w:cs="Arial"/>
              </w:rPr>
            </w:pPr>
          </w:p>
          <w:p w:rsidR="00E76939" w:rsidRDefault="00E76939" w:rsidP="004C480D">
            <w:pPr>
              <w:pStyle w:val="APECForm"/>
              <w:spacing w:before="0" w:after="0" w:line="360" w:lineRule="auto"/>
              <w:rPr>
                <w:rFonts w:cs="Arial"/>
              </w:rPr>
            </w:pPr>
            <w:r>
              <w:rPr>
                <w:rFonts w:cs="Arial"/>
              </w:rPr>
              <w:t>September 2015</w:t>
            </w:r>
          </w:p>
          <w:p w:rsidR="00E76939" w:rsidRDefault="00E76939" w:rsidP="004C480D">
            <w:pPr>
              <w:pStyle w:val="APECForm"/>
              <w:spacing w:before="0" w:after="0" w:line="360" w:lineRule="auto"/>
              <w:rPr>
                <w:rFonts w:cs="Arial"/>
              </w:rPr>
            </w:pPr>
          </w:p>
        </w:tc>
        <w:tc>
          <w:tcPr>
            <w:tcW w:w="2515" w:type="dxa"/>
          </w:tcPr>
          <w:p w:rsidR="00E76939" w:rsidRDefault="00E76939" w:rsidP="004C480D">
            <w:pPr>
              <w:pStyle w:val="APECForm"/>
              <w:spacing w:before="0" w:after="0" w:line="360" w:lineRule="auto"/>
              <w:rPr>
                <w:rFonts w:cs="Arial"/>
              </w:rPr>
            </w:pPr>
          </w:p>
          <w:p w:rsidR="00E76939" w:rsidRDefault="006F4E82" w:rsidP="004C480D">
            <w:pPr>
              <w:pStyle w:val="APECForm"/>
              <w:spacing w:before="0" w:after="0" w:line="360" w:lineRule="auto"/>
              <w:rPr>
                <w:rFonts w:cs="Arial"/>
              </w:rPr>
            </w:pPr>
            <w:r>
              <w:rPr>
                <w:rFonts w:cs="Arial"/>
              </w:rPr>
              <w:t xml:space="preserve">Proposed </w:t>
            </w:r>
            <w:r w:rsidR="00DC72DE">
              <w:rPr>
                <w:rFonts w:cs="Arial"/>
              </w:rPr>
              <w:t xml:space="preserve">FSCF </w:t>
            </w:r>
            <w:r w:rsidR="00E76939">
              <w:rPr>
                <w:rFonts w:cs="Arial"/>
              </w:rPr>
              <w:t>Meeting in Philippines</w:t>
            </w:r>
          </w:p>
          <w:p w:rsidR="00E76939" w:rsidRDefault="00E76939" w:rsidP="004C480D">
            <w:pPr>
              <w:pStyle w:val="APECForm"/>
              <w:spacing w:before="0" w:after="0" w:line="360" w:lineRule="auto"/>
              <w:rPr>
                <w:rFonts w:cs="Arial"/>
              </w:rPr>
            </w:pPr>
          </w:p>
          <w:p w:rsidR="00E76939" w:rsidRDefault="00E76939" w:rsidP="004C480D">
            <w:pPr>
              <w:pStyle w:val="APECForm"/>
              <w:spacing w:before="0" w:after="0" w:line="360" w:lineRule="auto"/>
              <w:rPr>
                <w:rFonts w:cs="Arial"/>
              </w:rPr>
            </w:pPr>
            <w:r>
              <w:rPr>
                <w:rFonts w:cs="Arial"/>
              </w:rPr>
              <w:t xml:space="preserve">Proposed WRF meeting in Australia </w:t>
            </w:r>
          </w:p>
        </w:tc>
      </w:tr>
    </w:tbl>
    <w:p w:rsidR="00E76939" w:rsidRDefault="00E76939" w:rsidP="00E76939">
      <w:pPr>
        <w:rPr>
          <w:rFonts w:eastAsia="Times New Roman" w:cs="Arial"/>
          <w:lang w:eastAsia="en-GB"/>
        </w:rPr>
      </w:pPr>
    </w:p>
    <w:p w:rsidR="00E34F6D" w:rsidRDefault="00E34F6D" w:rsidP="007E644D">
      <w:pPr>
        <w:rPr>
          <w:rFonts w:cs="Arial"/>
          <w:color w:val="00B050"/>
        </w:rPr>
      </w:pPr>
    </w:p>
    <w:p w:rsidR="00CB6E9D" w:rsidRDefault="00CB6E9D" w:rsidP="007E644D">
      <w:pPr>
        <w:rPr>
          <w:rFonts w:cs="Arial"/>
          <w:color w:val="00B050"/>
        </w:rPr>
      </w:pPr>
    </w:p>
    <w:p w:rsidR="00CB6E9D" w:rsidRDefault="00CB6E9D" w:rsidP="007E644D">
      <w:pPr>
        <w:rPr>
          <w:rFonts w:cs="Arial"/>
          <w:color w:val="00B050"/>
        </w:rPr>
      </w:pPr>
    </w:p>
    <w:p w:rsidR="00CB6E9D" w:rsidRDefault="00CB6E9D" w:rsidP="007E644D">
      <w:pPr>
        <w:rPr>
          <w:rFonts w:cs="Arial"/>
          <w:color w:val="00B050"/>
        </w:rPr>
      </w:pPr>
    </w:p>
    <w:p w:rsidR="00CB6E9D" w:rsidRDefault="00CB6E9D" w:rsidP="007E644D">
      <w:pPr>
        <w:rPr>
          <w:rFonts w:cs="Arial"/>
          <w:color w:val="00B050"/>
        </w:rPr>
      </w:pPr>
    </w:p>
    <w:p w:rsidR="00C111E2" w:rsidRPr="00B96007" w:rsidRDefault="00C111E2" w:rsidP="007E644D">
      <w:pPr>
        <w:rPr>
          <w:rFonts w:cs="Arial"/>
          <w:b/>
        </w:rPr>
      </w:pPr>
      <w:r w:rsidRPr="00B96007">
        <w:rPr>
          <w:rFonts w:cs="Arial"/>
          <w:b/>
        </w:rPr>
        <w:lastRenderedPageBreak/>
        <w:t xml:space="preserve">Recommendations </w:t>
      </w:r>
    </w:p>
    <w:p w:rsidR="00897C96" w:rsidRPr="00B96007" w:rsidRDefault="00897C96" w:rsidP="00897C96">
      <w:pPr>
        <w:rPr>
          <w:rFonts w:cs="Arial"/>
        </w:rPr>
      </w:pPr>
    </w:p>
    <w:p w:rsidR="00897C96" w:rsidRPr="00B96007" w:rsidRDefault="00B96007" w:rsidP="00897C96">
      <w:pPr>
        <w:rPr>
          <w:rFonts w:cs="Arial"/>
          <w:i/>
        </w:rPr>
      </w:pPr>
      <w:r>
        <w:rPr>
          <w:rFonts w:cs="Arial"/>
          <w:i/>
        </w:rPr>
        <w:t>Communication</w:t>
      </w:r>
    </w:p>
    <w:p w:rsidR="00897C96" w:rsidRPr="00B96007" w:rsidRDefault="006F4E82" w:rsidP="00151E7A">
      <w:pPr>
        <w:pStyle w:val="ListParagraph"/>
        <w:numPr>
          <w:ilvl w:val="0"/>
          <w:numId w:val="18"/>
        </w:numPr>
        <w:ind w:left="357" w:hanging="357"/>
        <w:rPr>
          <w:rFonts w:cs="Arial"/>
        </w:rPr>
      </w:pPr>
      <w:r>
        <w:rPr>
          <w:rFonts w:cs="Arial"/>
        </w:rPr>
        <w:t>C</w:t>
      </w:r>
      <w:r w:rsidR="00897C96" w:rsidRPr="00B96007">
        <w:rPr>
          <w:rFonts w:cs="Arial"/>
        </w:rPr>
        <w:t xml:space="preserve">onsider approaches to </w:t>
      </w:r>
      <w:r w:rsidR="00B43693" w:rsidRPr="006F4E82">
        <w:rPr>
          <w:rFonts w:cs="Arial"/>
        </w:rPr>
        <w:t>engage</w:t>
      </w:r>
      <w:r w:rsidR="00B43693">
        <w:rPr>
          <w:rFonts w:cs="Arial"/>
          <w:color w:val="0000CC"/>
        </w:rPr>
        <w:t xml:space="preserve"> </w:t>
      </w:r>
      <w:r w:rsidR="00897C96" w:rsidRPr="00B96007">
        <w:rPr>
          <w:rFonts w:cs="Arial"/>
        </w:rPr>
        <w:t>Trade Ministers and CCPR delegates that are not involved with FSCF</w:t>
      </w:r>
      <w:r w:rsidR="00FC15A8">
        <w:rPr>
          <w:rFonts w:cs="Arial"/>
        </w:rPr>
        <w:t xml:space="preserve"> activities</w:t>
      </w:r>
    </w:p>
    <w:p w:rsidR="00897C96" w:rsidRPr="00B96007" w:rsidRDefault="00897C96" w:rsidP="00897C96">
      <w:pPr>
        <w:rPr>
          <w:rFonts w:cs="Arial"/>
        </w:rPr>
      </w:pPr>
    </w:p>
    <w:p w:rsidR="00B96007" w:rsidRPr="00B96007" w:rsidRDefault="00B96007" w:rsidP="00CB6E9D">
      <w:pPr>
        <w:rPr>
          <w:rFonts w:cs="Arial"/>
          <w:i/>
        </w:rPr>
      </w:pPr>
      <w:r w:rsidRPr="00B96007">
        <w:rPr>
          <w:rFonts w:cs="Arial"/>
          <w:i/>
        </w:rPr>
        <w:t>Data compilation</w:t>
      </w:r>
    </w:p>
    <w:p w:rsidR="00DD5056" w:rsidRPr="00B96007" w:rsidRDefault="001B4634" w:rsidP="00151E7A">
      <w:pPr>
        <w:pStyle w:val="ListParagraph"/>
        <w:numPr>
          <w:ilvl w:val="0"/>
          <w:numId w:val="17"/>
        </w:numPr>
        <w:ind w:left="357" w:hanging="357"/>
        <w:rPr>
          <w:rFonts w:cs="Arial"/>
        </w:rPr>
      </w:pPr>
      <w:r>
        <w:rPr>
          <w:rFonts w:cs="Arial"/>
        </w:rPr>
        <w:t>Establish</w:t>
      </w:r>
      <w:r w:rsidR="00CB6E9D" w:rsidRPr="00B96007">
        <w:rPr>
          <w:rFonts w:cs="Arial"/>
        </w:rPr>
        <w:t xml:space="preserve"> a </w:t>
      </w:r>
      <w:r w:rsidR="00DD5056" w:rsidRPr="00B96007">
        <w:rPr>
          <w:rFonts w:cs="Arial"/>
        </w:rPr>
        <w:t xml:space="preserve">working group to commence work on </w:t>
      </w:r>
      <w:r w:rsidR="00CB6E9D" w:rsidRPr="00B96007">
        <w:rPr>
          <w:rFonts w:cs="Arial"/>
        </w:rPr>
        <w:t>data sharing and information exchange</w:t>
      </w:r>
      <w:r w:rsidR="00DD5056" w:rsidRPr="00B96007">
        <w:rPr>
          <w:rFonts w:cs="Arial"/>
        </w:rPr>
        <w:t xml:space="preserve"> between member economies</w:t>
      </w:r>
    </w:p>
    <w:p w:rsidR="00DD5056" w:rsidRPr="00B96007" w:rsidRDefault="00DD5056" w:rsidP="00151E7A">
      <w:pPr>
        <w:pStyle w:val="ListParagraph"/>
        <w:numPr>
          <w:ilvl w:val="0"/>
          <w:numId w:val="17"/>
        </w:numPr>
        <w:ind w:left="357" w:hanging="357"/>
        <w:rPr>
          <w:rFonts w:cs="Arial"/>
        </w:rPr>
      </w:pPr>
      <w:r w:rsidRPr="00B96007">
        <w:rPr>
          <w:rFonts w:cs="Arial"/>
        </w:rPr>
        <w:t xml:space="preserve">Provide </w:t>
      </w:r>
      <w:r w:rsidR="001B4634" w:rsidRPr="00B96007">
        <w:rPr>
          <w:rFonts w:cs="Arial"/>
        </w:rPr>
        <w:t xml:space="preserve">terms of reference </w:t>
      </w:r>
      <w:r w:rsidR="001B4634">
        <w:rPr>
          <w:rFonts w:cs="Arial"/>
        </w:rPr>
        <w:t xml:space="preserve">for </w:t>
      </w:r>
      <w:r w:rsidR="00E11560">
        <w:rPr>
          <w:rFonts w:cs="Arial"/>
        </w:rPr>
        <w:t xml:space="preserve">the </w:t>
      </w:r>
      <w:r w:rsidRPr="00B96007">
        <w:rPr>
          <w:rFonts w:cs="Arial"/>
        </w:rPr>
        <w:t>working gro</w:t>
      </w:r>
      <w:r w:rsidR="001B4634">
        <w:rPr>
          <w:rFonts w:cs="Arial"/>
        </w:rPr>
        <w:t>up</w:t>
      </w:r>
      <w:r w:rsidRPr="00B96007">
        <w:rPr>
          <w:rFonts w:cs="Arial"/>
        </w:rPr>
        <w:t xml:space="preserve"> </w:t>
      </w:r>
    </w:p>
    <w:p w:rsidR="00CB6E9D" w:rsidRPr="00B96007" w:rsidRDefault="00DD5056" w:rsidP="00151E7A">
      <w:pPr>
        <w:pStyle w:val="ListParagraph"/>
        <w:numPr>
          <w:ilvl w:val="0"/>
          <w:numId w:val="17"/>
        </w:numPr>
        <w:ind w:left="357" w:hanging="357"/>
        <w:rPr>
          <w:rFonts w:cs="Arial"/>
        </w:rPr>
      </w:pPr>
      <w:r w:rsidRPr="00B96007">
        <w:rPr>
          <w:rFonts w:cs="Arial"/>
        </w:rPr>
        <w:t>Identify approaches or processes that can be used</w:t>
      </w:r>
      <w:r w:rsidR="00B43693">
        <w:rPr>
          <w:rFonts w:cs="Arial"/>
        </w:rPr>
        <w:t>,</w:t>
      </w:r>
      <w:r w:rsidRPr="00B96007">
        <w:rPr>
          <w:rFonts w:cs="Arial"/>
        </w:rPr>
        <w:t xml:space="preserve"> or activities to be undertaken</w:t>
      </w:r>
      <w:r w:rsidR="00897C96" w:rsidRPr="00B96007">
        <w:rPr>
          <w:rFonts w:cs="Arial"/>
        </w:rPr>
        <w:t xml:space="preserve"> by the working group</w:t>
      </w:r>
    </w:p>
    <w:p w:rsidR="00897C96" w:rsidRPr="00B96007" w:rsidRDefault="001B4634" w:rsidP="00151E7A">
      <w:pPr>
        <w:pStyle w:val="ListParagraph"/>
        <w:numPr>
          <w:ilvl w:val="0"/>
          <w:numId w:val="17"/>
        </w:numPr>
        <w:ind w:left="357" w:hanging="357"/>
        <w:rPr>
          <w:rFonts w:cs="Arial"/>
        </w:rPr>
      </w:pPr>
      <w:r>
        <w:rPr>
          <w:rFonts w:cs="Arial"/>
        </w:rPr>
        <w:t>Decide on h</w:t>
      </w:r>
      <w:r w:rsidR="00897C96" w:rsidRPr="00B96007">
        <w:rPr>
          <w:rFonts w:cs="Arial"/>
        </w:rPr>
        <w:t>ow to start work on the c</w:t>
      </w:r>
      <w:r w:rsidR="00C111E2" w:rsidRPr="00B96007">
        <w:rPr>
          <w:rFonts w:cs="Arial"/>
        </w:rPr>
        <w:t>ompilation of data on wine MRLs in the APEC region</w:t>
      </w:r>
    </w:p>
    <w:p w:rsidR="00B96007" w:rsidRPr="00B96007" w:rsidRDefault="00B96007" w:rsidP="00151E7A">
      <w:pPr>
        <w:pStyle w:val="ListParagraph"/>
        <w:numPr>
          <w:ilvl w:val="0"/>
          <w:numId w:val="17"/>
        </w:numPr>
        <w:ind w:left="357" w:hanging="357"/>
        <w:rPr>
          <w:rFonts w:cs="Arial"/>
        </w:rPr>
      </w:pPr>
      <w:r w:rsidRPr="00B96007">
        <w:rPr>
          <w:rFonts w:cs="Arial"/>
        </w:rPr>
        <w:t xml:space="preserve">Decide whether discussion on this topic should </w:t>
      </w:r>
      <w:r w:rsidR="00D57DE4">
        <w:rPr>
          <w:rFonts w:cs="Arial"/>
        </w:rPr>
        <w:t>continue</w:t>
      </w:r>
      <w:r w:rsidR="00D57DE4" w:rsidRPr="00B96007">
        <w:rPr>
          <w:rFonts w:cs="Arial"/>
        </w:rPr>
        <w:t xml:space="preserve"> </w:t>
      </w:r>
      <w:r w:rsidRPr="00B96007">
        <w:rPr>
          <w:rFonts w:cs="Arial"/>
        </w:rPr>
        <w:t>out-of-session</w:t>
      </w:r>
      <w:r w:rsidR="00B43693">
        <w:rPr>
          <w:rFonts w:cs="Arial"/>
        </w:rPr>
        <w:t>,</w:t>
      </w:r>
      <w:r w:rsidRPr="00B96007">
        <w:rPr>
          <w:rFonts w:cs="Arial"/>
        </w:rPr>
        <w:t xml:space="preserve"> and set su</w:t>
      </w:r>
      <w:r w:rsidR="00E531F5">
        <w:rPr>
          <w:rFonts w:cs="Arial"/>
        </w:rPr>
        <w:t>itable timelines for the issues</w:t>
      </w:r>
      <w:r w:rsidR="00FC15A8">
        <w:rPr>
          <w:rFonts w:cs="Arial"/>
        </w:rPr>
        <w:t>.</w:t>
      </w:r>
    </w:p>
    <w:p w:rsidR="00897C96" w:rsidRPr="00B96007" w:rsidRDefault="00897C96" w:rsidP="00897C96">
      <w:pPr>
        <w:rPr>
          <w:rFonts w:cs="Arial"/>
        </w:rPr>
      </w:pPr>
    </w:p>
    <w:p w:rsidR="00B96007" w:rsidRPr="00B96007" w:rsidRDefault="00897C96" w:rsidP="00897C96">
      <w:pPr>
        <w:rPr>
          <w:rFonts w:cs="Arial"/>
          <w:i/>
        </w:rPr>
      </w:pPr>
      <w:r w:rsidRPr="00B96007">
        <w:rPr>
          <w:rFonts w:cs="Arial"/>
          <w:i/>
        </w:rPr>
        <w:t>Training and funding</w:t>
      </w:r>
    </w:p>
    <w:p w:rsidR="00C111E2" w:rsidRDefault="00B96007" w:rsidP="00151E7A">
      <w:pPr>
        <w:pStyle w:val="ListParagraph"/>
        <w:numPr>
          <w:ilvl w:val="0"/>
          <w:numId w:val="19"/>
        </w:numPr>
        <w:ind w:left="357" w:hanging="357"/>
        <w:rPr>
          <w:rFonts w:cs="Arial"/>
        </w:rPr>
      </w:pPr>
      <w:r w:rsidRPr="00B96007">
        <w:rPr>
          <w:rFonts w:cs="Arial"/>
        </w:rPr>
        <w:t xml:space="preserve">Agree on the concept and approach to adopt. </w:t>
      </w:r>
      <w:r w:rsidR="00C111E2" w:rsidRPr="00B96007">
        <w:rPr>
          <w:rFonts w:cs="Arial"/>
        </w:rPr>
        <w:t xml:space="preserve"> </w:t>
      </w:r>
    </w:p>
    <w:p w:rsidR="00B96007" w:rsidRDefault="00B96007" w:rsidP="00B96007">
      <w:pPr>
        <w:rPr>
          <w:rFonts w:cs="Arial"/>
        </w:rPr>
      </w:pPr>
    </w:p>
    <w:p w:rsidR="00B96007" w:rsidRPr="00151E7A" w:rsidRDefault="00B96007" w:rsidP="00B96007">
      <w:pPr>
        <w:rPr>
          <w:rFonts w:cs="Arial"/>
          <w:i/>
        </w:rPr>
      </w:pPr>
      <w:r w:rsidRPr="00151E7A">
        <w:rPr>
          <w:rFonts w:cs="Arial"/>
          <w:i/>
        </w:rPr>
        <w:t>Second MRL pilot</w:t>
      </w:r>
    </w:p>
    <w:p w:rsidR="00B96007" w:rsidRDefault="00B96007" w:rsidP="00D31894">
      <w:pPr>
        <w:pStyle w:val="ListParagraph"/>
        <w:numPr>
          <w:ilvl w:val="0"/>
          <w:numId w:val="19"/>
        </w:numPr>
        <w:ind w:left="357" w:hanging="357"/>
        <w:rPr>
          <w:rFonts w:cs="Arial"/>
        </w:rPr>
      </w:pPr>
      <w:r>
        <w:rPr>
          <w:rFonts w:cs="Arial"/>
        </w:rPr>
        <w:t xml:space="preserve">Agree on the tropical commodity for the </w:t>
      </w:r>
      <w:r w:rsidR="00FC15A8">
        <w:rPr>
          <w:rFonts w:cs="Arial"/>
        </w:rPr>
        <w:t xml:space="preserve">second MRLs </w:t>
      </w:r>
      <w:r>
        <w:rPr>
          <w:rFonts w:cs="Arial"/>
        </w:rPr>
        <w:t>pilot</w:t>
      </w:r>
      <w:r w:rsidR="00FC15A8">
        <w:rPr>
          <w:rFonts w:cs="Arial"/>
        </w:rPr>
        <w:t xml:space="preserve"> study</w:t>
      </w:r>
    </w:p>
    <w:p w:rsidR="00B96007" w:rsidRDefault="00151E7A" w:rsidP="00D31894">
      <w:pPr>
        <w:pStyle w:val="ListParagraph"/>
        <w:numPr>
          <w:ilvl w:val="0"/>
          <w:numId w:val="19"/>
        </w:numPr>
        <w:ind w:left="357" w:hanging="357"/>
        <w:rPr>
          <w:rFonts w:cs="Arial"/>
        </w:rPr>
      </w:pPr>
      <w:r>
        <w:rPr>
          <w:rFonts w:cs="Arial"/>
        </w:rPr>
        <w:t xml:space="preserve">Endorse the Philippines as the member economy to lead </w:t>
      </w:r>
      <w:r w:rsidR="00FC15A8">
        <w:rPr>
          <w:rFonts w:cs="Arial"/>
        </w:rPr>
        <w:t xml:space="preserve">the second MRL </w:t>
      </w:r>
      <w:r>
        <w:rPr>
          <w:rFonts w:cs="Arial"/>
        </w:rPr>
        <w:t>pilot</w:t>
      </w:r>
    </w:p>
    <w:p w:rsidR="00151E7A" w:rsidRPr="00B96007" w:rsidRDefault="00151E7A" w:rsidP="00D31894">
      <w:pPr>
        <w:pStyle w:val="ListParagraph"/>
        <w:numPr>
          <w:ilvl w:val="0"/>
          <w:numId w:val="19"/>
        </w:numPr>
        <w:ind w:left="357" w:hanging="357"/>
        <w:rPr>
          <w:rFonts w:cs="Arial"/>
        </w:rPr>
      </w:pPr>
      <w:r>
        <w:rPr>
          <w:rFonts w:cs="Arial"/>
        </w:rPr>
        <w:t>Agree on the Working</w:t>
      </w:r>
      <w:r w:rsidR="00E531F5">
        <w:rPr>
          <w:rFonts w:cs="Arial"/>
        </w:rPr>
        <w:t xml:space="preserve"> Group for the second MRL pilot</w:t>
      </w:r>
      <w:r w:rsidR="00FC15A8">
        <w:rPr>
          <w:rFonts w:cs="Arial"/>
        </w:rPr>
        <w:t>.</w:t>
      </w:r>
    </w:p>
    <w:sectPr w:rsidR="00151E7A" w:rsidRPr="00B96007" w:rsidSect="00D00014">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E5" w:rsidRDefault="009508E5" w:rsidP="007B6B8C">
      <w:r>
        <w:separator/>
      </w:r>
    </w:p>
  </w:endnote>
  <w:endnote w:type="continuationSeparator" w:id="0">
    <w:p w:rsidR="009508E5" w:rsidRDefault="009508E5" w:rsidP="007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38481"/>
      <w:docPartObj>
        <w:docPartGallery w:val="Page Numbers (Bottom of Page)"/>
        <w:docPartUnique/>
      </w:docPartObj>
    </w:sdtPr>
    <w:sdtEndPr>
      <w:rPr>
        <w:noProof/>
      </w:rPr>
    </w:sdtEndPr>
    <w:sdtContent>
      <w:p w:rsidR="009508E5" w:rsidRDefault="00C80FE8">
        <w:pPr>
          <w:pStyle w:val="Footer"/>
          <w:jc w:val="right"/>
        </w:pPr>
        <w:r>
          <w:fldChar w:fldCharType="begin"/>
        </w:r>
        <w:r w:rsidR="00A87872">
          <w:instrText xml:space="preserve"> PAGE   \* MERGEFORMAT </w:instrText>
        </w:r>
        <w:r>
          <w:fldChar w:fldCharType="separate"/>
        </w:r>
        <w:r w:rsidR="001164D6">
          <w:rPr>
            <w:noProof/>
          </w:rPr>
          <w:t>7</w:t>
        </w:r>
        <w:r>
          <w:rPr>
            <w:noProof/>
          </w:rPr>
          <w:fldChar w:fldCharType="end"/>
        </w:r>
      </w:p>
    </w:sdtContent>
  </w:sdt>
  <w:p w:rsidR="009508E5" w:rsidRDefault="0095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E5" w:rsidRDefault="009508E5" w:rsidP="007B6B8C">
      <w:r>
        <w:separator/>
      </w:r>
    </w:p>
  </w:footnote>
  <w:footnote w:type="continuationSeparator" w:id="0">
    <w:p w:rsidR="009508E5" w:rsidRDefault="009508E5" w:rsidP="007B6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D9C"/>
    <w:multiLevelType w:val="hybridMultilevel"/>
    <w:tmpl w:val="A5A2E1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47B0B"/>
    <w:multiLevelType w:val="hybridMultilevel"/>
    <w:tmpl w:val="5084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5B3046"/>
    <w:multiLevelType w:val="hybridMultilevel"/>
    <w:tmpl w:val="74E63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72678E"/>
    <w:multiLevelType w:val="hybridMultilevel"/>
    <w:tmpl w:val="AAB8D628"/>
    <w:lvl w:ilvl="0" w:tplc="08090003">
      <w:start w:val="1"/>
      <w:numFmt w:val="bullet"/>
      <w:lvlText w:val="o"/>
      <w:lvlJc w:val="left"/>
      <w:pPr>
        <w:ind w:left="1988" w:hanging="360"/>
      </w:pPr>
      <w:rPr>
        <w:rFonts w:ascii="Courier New" w:hAnsi="Courier New" w:cs="Courier New" w:hint="default"/>
      </w:rPr>
    </w:lvl>
    <w:lvl w:ilvl="1" w:tplc="08090003" w:tentative="1">
      <w:start w:val="1"/>
      <w:numFmt w:val="bullet"/>
      <w:lvlText w:val="o"/>
      <w:lvlJc w:val="left"/>
      <w:pPr>
        <w:ind w:left="2708" w:hanging="360"/>
      </w:pPr>
      <w:rPr>
        <w:rFonts w:ascii="Courier New" w:hAnsi="Courier New" w:cs="Courier New" w:hint="default"/>
      </w:rPr>
    </w:lvl>
    <w:lvl w:ilvl="2" w:tplc="08090005" w:tentative="1">
      <w:start w:val="1"/>
      <w:numFmt w:val="bullet"/>
      <w:lvlText w:val=""/>
      <w:lvlJc w:val="left"/>
      <w:pPr>
        <w:ind w:left="3428" w:hanging="360"/>
      </w:pPr>
      <w:rPr>
        <w:rFonts w:ascii="Wingdings" w:hAnsi="Wingdings" w:hint="default"/>
      </w:rPr>
    </w:lvl>
    <w:lvl w:ilvl="3" w:tplc="08090001" w:tentative="1">
      <w:start w:val="1"/>
      <w:numFmt w:val="bullet"/>
      <w:lvlText w:val=""/>
      <w:lvlJc w:val="left"/>
      <w:pPr>
        <w:ind w:left="4148" w:hanging="360"/>
      </w:pPr>
      <w:rPr>
        <w:rFonts w:ascii="Symbol" w:hAnsi="Symbol" w:hint="default"/>
      </w:rPr>
    </w:lvl>
    <w:lvl w:ilvl="4" w:tplc="08090003" w:tentative="1">
      <w:start w:val="1"/>
      <w:numFmt w:val="bullet"/>
      <w:lvlText w:val="o"/>
      <w:lvlJc w:val="left"/>
      <w:pPr>
        <w:ind w:left="4868" w:hanging="360"/>
      </w:pPr>
      <w:rPr>
        <w:rFonts w:ascii="Courier New" w:hAnsi="Courier New" w:cs="Courier New" w:hint="default"/>
      </w:rPr>
    </w:lvl>
    <w:lvl w:ilvl="5" w:tplc="08090005" w:tentative="1">
      <w:start w:val="1"/>
      <w:numFmt w:val="bullet"/>
      <w:lvlText w:val=""/>
      <w:lvlJc w:val="left"/>
      <w:pPr>
        <w:ind w:left="5588" w:hanging="360"/>
      </w:pPr>
      <w:rPr>
        <w:rFonts w:ascii="Wingdings" w:hAnsi="Wingdings" w:hint="default"/>
      </w:rPr>
    </w:lvl>
    <w:lvl w:ilvl="6" w:tplc="08090001" w:tentative="1">
      <w:start w:val="1"/>
      <w:numFmt w:val="bullet"/>
      <w:lvlText w:val=""/>
      <w:lvlJc w:val="left"/>
      <w:pPr>
        <w:ind w:left="6308" w:hanging="360"/>
      </w:pPr>
      <w:rPr>
        <w:rFonts w:ascii="Symbol" w:hAnsi="Symbol" w:hint="default"/>
      </w:rPr>
    </w:lvl>
    <w:lvl w:ilvl="7" w:tplc="08090003" w:tentative="1">
      <w:start w:val="1"/>
      <w:numFmt w:val="bullet"/>
      <w:lvlText w:val="o"/>
      <w:lvlJc w:val="left"/>
      <w:pPr>
        <w:ind w:left="7028" w:hanging="360"/>
      </w:pPr>
      <w:rPr>
        <w:rFonts w:ascii="Courier New" w:hAnsi="Courier New" w:cs="Courier New" w:hint="default"/>
      </w:rPr>
    </w:lvl>
    <w:lvl w:ilvl="8" w:tplc="08090005" w:tentative="1">
      <w:start w:val="1"/>
      <w:numFmt w:val="bullet"/>
      <w:lvlText w:val=""/>
      <w:lvlJc w:val="left"/>
      <w:pPr>
        <w:ind w:left="7748" w:hanging="360"/>
      </w:pPr>
      <w:rPr>
        <w:rFonts w:ascii="Wingdings" w:hAnsi="Wingdings" w:hint="default"/>
      </w:rPr>
    </w:lvl>
  </w:abstractNum>
  <w:abstractNum w:abstractNumId="4">
    <w:nsid w:val="2C11471B"/>
    <w:multiLevelType w:val="hybridMultilevel"/>
    <w:tmpl w:val="40E04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B196F8E"/>
    <w:multiLevelType w:val="hybridMultilevel"/>
    <w:tmpl w:val="BD2E1A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A03533"/>
    <w:multiLevelType w:val="hybridMultilevel"/>
    <w:tmpl w:val="1CBA7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6A09F9"/>
    <w:multiLevelType w:val="hybridMultilevel"/>
    <w:tmpl w:val="9046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D74932"/>
    <w:multiLevelType w:val="hybridMultilevel"/>
    <w:tmpl w:val="7E24B4D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A162BD"/>
    <w:multiLevelType w:val="hybridMultilevel"/>
    <w:tmpl w:val="591C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F50C9B"/>
    <w:multiLevelType w:val="hybridMultilevel"/>
    <w:tmpl w:val="94FE70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61749F"/>
    <w:multiLevelType w:val="hybridMultilevel"/>
    <w:tmpl w:val="1494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492791B"/>
    <w:multiLevelType w:val="hybridMultilevel"/>
    <w:tmpl w:val="80E67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nsid w:val="77722347"/>
    <w:multiLevelType w:val="hybridMultilevel"/>
    <w:tmpl w:val="2850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6D3A5F"/>
    <w:multiLevelType w:val="hybridMultilevel"/>
    <w:tmpl w:val="6A50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A1380C"/>
    <w:multiLevelType w:val="hybridMultilevel"/>
    <w:tmpl w:val="D15AE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2"/>
  </w:num>
  <w:num w:numId="5">
    <w:abstractNumId w:val="5"/>
  </w:num>
  <w:num w:numId="6">
    <w:abstractNumId w:val="8"/>
  </w:num>
  <w:num w:numId="7">
    <w:abstractNumId w:val="1"/>
  </w:num>
  <w:num w:numId="8">
    <w:abstractNumId w:val="4"/>
  </w:num>
  <w:num w:numId="9">
    <w:abstractNumId w:val="16"/>
  </w:num>
  <w:num w:numId="10">
    <w:abstractNumId w:val="17"/>
  </w:num>
  <w:num w:numId="11">
    <w:abstractNumId w:val="10"/>
  </w:num>
  <w:num w:numId="12">
    <w:abstractNumId w:val="6"/>
  </w:num>
  <w:num w:numId="13">
    <w:abstractNumId w:val="14"/>
  </w:num>
  <w:num w:numId="14">
    <w:abstractNumId w:val="0"/>
  </w:num>
  <w:num w:numId="15">
    <w:abstractNumId w:val="3"/>
  </w:num>
  <w:num w:numId="16">
    <w:abstractNumId w:val="11"/>
  </w:num>
  <w:num w:numId="17">
    <w:abstractNumId w:val="18"/>
  </w:num>
  <w:num w:numId="18">
    <w:abstractNumId w:val="7"/>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19F"/>
    <w:rsid w:val="000019C6"/>
    <w:rsid w:val="0000542C"/>
    <w:rsid w:val="00007FDA"/>
    <w:rsid w:val="00011421"/>
    <w:rsid w:val="000137CB"/>
    <w:rsid w:val="00015239"/>
    <w:rsid w:val="00041643"/>
    <w:rsid w:val="00044163"/>
    <w:rsid w:val="000612A6"/>
    <w:rsid w:val="000622E7"/>
    <w:rsid w:val="00066854"/>
    <w:rsid w:val="00066D85"/>
    <w:rsid w:val="000A35A5"/>
    <w:rsid w:val="000A38F8"/>
    <w:rsid w:val="000A3E5E"/>
    <w:rsid w:val="000B4CA0"/>
    <w:rsid w:val="000C606D"/>
    <w:rsid w:val="000D39A1"/>
    <w:rsid w:val="000D7B92"/>
    <w:rsid w:val="000F2196"/>
    <w:rsid w:val="001000E7"/>
    <w:rsid w:val="00105160"/>
    <w:rsid w:val="001075EF"/>
    <w:rsid w:val="001138D9"/>
    <w:rsid w:val="001164D6"/>
    <w:rsid w:val="00144CC2"/>
    <w:rsid w:val="00151E7A"/>
    <w:rsid w:val="00167913"/>
    <w:rsid w:val="001734EA"/>
    <w:rsid w:val="00184403"/>
    <w:rsid w:val="001902FE"/>
    <w:rsid w:val="00191770"/>
    <w:rsid w:val="0019247C"/>
    <w:rsid w:val="001B4634"/>
    <w:rsid w:val="001C5126"/>
    <w:rsid w:val="001C52A1"/>
    <w:rsid w:val="001C6C84"/>
    <w:rsid w:val="001D5D43"/>
    <w:rsid w:val="001E3D9D"/>
    <w:rsid w:val="001E696B"/>
    <w:rsid w:val="001F3446"/>
    <w:rsid w:val="001F5835"/>
    <w:rsid w:val="00212F1B"/>
    <w:rsid w:val="002232B1"/>
    <w:rsid w:val="0022564B"/>
    <w:rsid w:val="00226B63"/>
    <w:rsid w:val="00234C31"/>
    <w:rsid w:val="00237E44"/>
    <w:rsid w:val="00240FBF"/>
    <w:rsid w:val="00262FF3"/>
    <w:rsid w:val="00275B7C"/>
    <w:rsid w:val="002857E2"/>
    <w:rsid w:val="00287496"/>
    <w:rsid w:val="002A39E6"/>
    <w:rsid w:val="002C112C"/>
    <w:rsid w:val="002C42EA"/>
    <w:rsid w:val="002C6FA0"/>
    <w:rsid w:val="002D063D"/>
    <w:rsid w:val="002F49A0"/>
    <w:rsid w:val="00314D97"/>
    <w:rsid w:val="0033021F"/>
    <w:rsid w:val="00341D25"/>
    <w:rsid w:val="0034675E"/>
    <w:rsid w:val="00352A5D"/>
    <w:rsid w:val="0036386F"/>
    <w:rsid w:val="00367E5B"/>
    <w:rsid w:val="003703F1"/>
    <w:rsid w:val="0037146F"/>
    <w:rsid w:val="00385C11"/>
    <w:rsid w:val="003A0F86"/>
    <w:rsid w:val="003A5C8F"/>
    <w:rsid w:val="003B568E"/>
    <w:rsid w:val="003C3F14"/>
    <w:rsid w:val="003E78DA"/>
    <w:rsid w:val="004001F7"/>
    <w:rsid w:val="00404702"/>
    <w:rsid w:val="00407738"/>
    <w:rsid w:val="0044117C"/>
    <w:rsid w:val="00441D77"/>
    <w:rsid w:val="00443F05"/>
    <w:rsid w:val="00464406"/>
    <w:rsid w:val="00474C4C"/>
    <w:rsid w:val="00486619"/>
    <w:rsid w:val="004946C9"/>
    <w:rsid w:val="004A474E"/>
    <w:rsid w:val="004B0380"/>
    <w:rsid w:val="004C480D"/>
    <w:rsid w:val="004C5D20"/>
    <w:rsid w:val="004D3868"/>
    <w:rsid w:val="004D5C08"/>
    <w:rsid w:val="004E6694"/>
    <w:rsid w:val="004F580E"/>
    <w:rsid w:val="00500E4F"/>
    <w:rsid w:val="00514E73"/>
    <w:rsid w:val="00531817"/>
    <w:rsid w:val="0053420F"/>
    <w:rsid w:val="005351AB"/>
    <w:rsid w:val="005374F8"/>
    <w:rsid w:val="0054036E"/>
    <w:rsid w:val="005621A8"/>
    <w:rsid w:val="00570A18"/>
    <w:rsid w:val="00585DB2"/>
    <w:rsid w:val="00592A84"/>
    <w:rsid w:val="00597675"/>
    <w:rsid w:val="005B578D"/>
    <w:rsid w:val="005C1996"/>
    <w:rsid w:val="005C688B"/>
    <w:rsid w:val="005D1F8E"/>
    <w:rsid w:val="006024D6"/>
    <w:rsid w:val="0060360E"/>
    <w:rsid w:val="00633E57"/>
    <w:rsid w:val="00640786"/>
    <w:rsid w:val="006451C7"/>
    <w:rsid w:val="00682F23"/>
    <w:rsid w:val="006B14C2"/>
    <w:rsid w:val="006B6900"/>
    <w:rsid w:val="006C32CE"/>
    <w:rsid w:val="006D1E54"/>
    <w:rsid w:val="006D473E"/>
    <w:rsid w:val="006D620B"/>
    <w:rsid w:val="006D7CE1"/>
    <w:rsid w:val="006E6472"/>
    <w:rsid w:val="006E7BA4"/>
    <w:rsid w:val="006F4E82"/>
    <w:rsid w:val="00701D49"/>
    <w:rsid w:val="00730352"/>
    <w:rsid w:val="00737799"/>
    <w:rsid w:val="00746933"/>
    <w:rsid w:val="00747B1F"/>
    <w:rsid w:val="00761668"/>
    <w:rsid w:val="00775DF3"/>
    <w:rsid w:val="00784DDA"/>
    <w:rsid w:val="00793DE6"/>
    <w:rsid w:val="007A6194"/>
    <w:rsid w:val="007B6B8C"/>
    <w:rsid w:val="007C7EFD"/>
    <w:rsid w:val="007D087F"/>
    <w:rsid w:val="007E3AAE"/>
    <w:rsid w:val="007E644D"/>
    <w:rsid w:val="007F6456"/>
    <w:rsid w:val="007F7D87"/>
    <w:rsid w:val="00806930"/>
    <w:rsid w:val="0082728A"/>
    <w:rsid w:val="00830393"/>
    <w:rsid w:val="00831526"/>
    <w:rsid w:val="00833B58"/>
    <w:rsid w:val="00833D5A"/>
    <w:rsid w:val="0084139E"/>
    <w:rsid w:val="00860EE7"/>
    <w:rsid w:val="00863C9C"/>
    <w:rsid w:val="00863F34"/>
    <w:rsid w:val="00877A81"/>
    <w:rsid w:val="008816CD"/>
    <w:rsid w:val="00886735"/>
    <w:rsid w:val="008931F6"/>
    <w:rsid w:val="00893F0F"/>
    <w:rsid w:val="0089492F"/>
    <w:rsid w:val="00896361"/>
    <w:rsid w:val="008963A9"/>
    <w:rsid w:val="00896684"/>
    <w:rsid w:val="00897C96"/>
    <w:rsid w:val="008B3D76"/>
    <w:rsid w:val="008C1CF2"/>
    <w:rsid w:val="008C71EF"/>
    <w:rsid w:val="008D5F6F"/>
    <w:rsid w:val="008E2339"/>
    <w:rsid w:val="008E79A2"/>
    <w:rsid w:val="008F119A"/>
    <w:rsid w:val="008F5C13"/>
    <w:rsid w:val="008F650E"/>
    <w:rsid w:val="009003DC"/>
    <w:rsid w:val="009068BA"/>
    <w:rsid w:val="0092145C"/>
    <w:rsid w:val="00935023"/>
    <w:rsid w:val="009446E5"/>
    <w:rsid w:val="009508E5"/>
    <w:rsid w:val="00966DBD"/>
    <w:rsid w:val="009806A5"/>
    <w:rsid w:val="00997B86"/>
    <w:rsid w:val="009E265A"/>
    <w:rsid w:val="009F5E0D"/>
    <w:rsid w:val="009F7D76"/>
    <w:rsid w:val="00A20CFD"/>
    <w:rsid w:val="00A25B29"/>
    <w:rsid w:val="00A26F82"/>
    <w:rsid w:val="00A470A2"/>
    <w:rsid w:val="00A51AAB"/>
    <w:rsid w:val="00A53C6E"/>
    <w:rsid w:val="00A565FC"/>
    <w:rsid w:val="00A64B71"/>
    <w:rsid w:val="00A65C7D"/>
    <w:rsid w:val="00A77160"/>
    <w:rsid w:val="00A87872"/>
    <w:rsid w:val="00A96E33"/>
    <w:rsid w:val="00AB4F00"/>
    <w:rsid w:val="00AB61DA"/>
    <w:rsid w:val="00AC4F59"/>
    <w:rsid w:val="00AD143F"/>
    <w:rsid w:val="00AD5466"/>
    <w:rsid w:val="00AE1D20"/>
    <w:rsid w:val="00AF519F"/>
    <w:rsid w:val="00B0310D"/>
    <w:rsid w:val="00B04745"/>
    <w:rsid w:val="00B10624"/>
    <w:rsid w:val="00B126B0"/>
    <w:rsid w:val="00B30FCC"/>
    <w:rsid w:val="00B32817"/>
    <w:rsid w:val="00B43693"/>
    <w:rsid w:val="00B44AB6"/>
    <w:rsid w:val="00B475D6"/>
    <w:rsid w:val="00B53154"/>
    <w:rsid w:val="00B6076F"/>
    <w:rsid w:val="00B9270A"/>
    <w:rsid w:val="00B96007"/>
    <w:rsid w:val="00BC084E"/>
    <w:rsid w:val="00BC08E3"/>
    <w:rsid w:val="00BC2133"/>
    <w:rsid w:val="00BE28F5"/>
    <w:rsid w:val="00BE389F"/>
    <w:rsid w:val="00BE4F3A"/>
    <w:rsid w:val="00BF54E2"/>
    <w:rsid w:val="00C019A6"/>
    <w:rsid w:val="00C079B9"/>
    <w:rsid w:val="00C111E2"/>
    <w:rsid w:val="00C12EEA"/>
    <w:rsid w:val="00C40FA5"/>
    <w:rsid w:val="00C41BFE"/>
    <w:rsid w:val="00C572A2"/>
    <w:rsid w:val="00C579CE"/>
    <w:rsid w:val="00C80FE8"/>
    <w:rsid w:val="00C82EF2"/>
    <w:rsid w:val="00CB6E9D"/>
    <w:rsid w:val="00CB73AF"/>
    <w:rsid w:val="00CC46EF"/>
    <w:rsid w:val="00CF5C79"/>
    <w:rsid w:val="00D00014"/>
    <w:rsid w:val="00D00C28"/>
    <w:rsid w:val="00D021A2"/>
    <w:rsid w:val="00D05DCA"/>
    <w:rsid w:val="00D15795"/>
    <w:rsid w:val="00D31894"/>
    <w:rsid w:val="00D405F5"/>
    <w:rsid w:val="00D5526B"/>
    <w:rsid w:val="00D57D21"/>
    <w:rsid w:val="00D57DE4"/>
    <w:rsid w:val="00D6045E"/>
    <w:rsid w:val="00D61493"/>
    <w:rsid w:val="00D66962"/>
    <w:rsid w:val="00D87D9C"/>
    <w:rsid w:val="00D90011"/>
    <w:rsid w:val="00D92B3B"/>
    <w:rsid w:val="00DA7DED"/>
    <w:rsid w:val="00DB3754"/>
    <w:rsid w:val="00DC72DE"/>
    <w:rsid w:val="00DD5056"/>
    <w:rsid w:val="00DF4A30"/>
    <w:rsid w:val="00DF6137"/>
    <w:rsid w:val="00E0050C"/>
    <w:rsid w:val="00E11560"/>
    <w:rsid w:val="00E2450C"/>
    <w:rsid w:val="00E30C4F"/>
    <w:rsid w:val="00E340B5"/>
    <w:rsid w:val="00E34F6D"/>
    <w:rsid w:val="00E4001E"/>
    <w:rsid w:val="00E465C4"/>
    <w:rsid w:val="00E531F5"/>
    <w:rsid w:val="00E53ACA"/>
    <w:rsid w:val="00E66A72"/>
    <w:rsid w:val="00E713B7"/>
    <w:rsid w:val="00E7195F"/>
    <w:rsid w:val="00E72E4B"/>
    <w:rsid w:val="00E76939"/>
    <w:rsid w:val="00E8362F"/>
    <w:rsid w:val="00E9409E"/>
    <w:rsid w:val="00ED73FA"/>
    <w:rsid w:val="00EE0691"/>
    <w:rsid w:val="00EF6548"/>
    <w:rsid w:val="00EF71AA"/>
    <w:rsid w:val="00F024FD"/>
    <w:rsid w:val="00F12A87"/>
    <w:rsid w:val="00F13916"/>
    <w:rsid w:val="00F20BBE"/>
    <w:rsid w:val="00F2349F"/>
    <w:rsid w:val="00F24870"/>
    <w:rsid w:val="00F24E3F"/>
    <w:rsid w:val="00F255A6"/>
    <w:rsid w:val="00F25FD1"/>
    <w:rsid w:val="00F27AF5"/>
    <w:rsid w:val="00F36F4F"/>
    <w:rsid w:val="00F37C35"/>
    <w:rsid w:val="00F4105E"/>
    <w:rsid w:val="00F616DA"/>
    <w:rsid w:val="00F700A4"/>
    <w:rsid w:val="00F76F95"/>
    <w:rsid w:val="00F855A8"/>
    <w:rsid w:val="00F86547"/>
    <w:rsid w:val="00F91E5B"/>
    <w:rsid w:val="00FB0D23"/>
    <w:rsid w:val="00FB1349"/>
    <w:rsid w:val="00FC15A8"/>
    <w:rsid w:val="00FC31E1"/>
    <w:rsid w:val="00FC6A88"/>
    <w:rsid w:val="00FC7267"/>
    <w:rsid w:val="00FD014D"/>
    <w:rsid w:val="00FD4B8D"/>
    <w:rsid w:val="00FE51E3"/>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E644D"/>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APECForm">
    <w:name w:val="APEC Form"/>
    <w:basedOn w:val="Normal"/>
    <w:qFormat/>
    <w:rsid w:val="007E644D"/>
    <w:pPr>
      <w:tabs>
        <w:tab w:val="left" w:pos="2880"/>
        <w:tab w:val="left" w:pos="5760"/>
      </w:tabs>
      <w:spacing w:before="60" w:after="120" w:line="300" w:lineRule="atLeast"/>
    </w:pPr>
    <w:rPr>
      <w:rFonts w:eastAsia="PMingLiU" w:cs="Times New Roman"/>
      <w:bCs/>
      <w:sz w:val="20"/>
    </w:rPr>
  </w:style>
  <w:style w:type="character" w:styleId="CommentReference">
    <w:name w:val="annotation reference"/>
    <w:basedOn w:val="DefaultParagraphFont"/>
    <w:uiPriority w:val="99"/>
    <w:semiHidden/>
    <w:unhideWhenUsed/>
    <w:rsid w:val="00831526"/>
    <w:rPr>
      <w:sz w:val="16"/>
      <w:szCs w:val="16"/>
    </w:rPr>
  </w:style>
  <w:style w:type="paragraph" w:styleId="CommentText">
    <w:name w:val="annotation text"/>
    <w:basedOn w:val="Normal"/>
    <w:link w:val="CommentTextChar"/>
    <w:uiPriority w:val="99"/>
    <w:semiHidden/>
    <w:unhideWhenUsed/>
    <w:rsid w:val="00831526"/>
    <w:rPr>
      <w:sz w:val="20"/>
      <w:szCs w:val="20"/>
    </w:rPr>
  </w:style>
  <w:style w:type="character" w:customStyle="1" w:styleId="CommentTextChar">
    <w:name w:val="Comment Text Char"/>
    <w:basedOn w:val="DefaultParagraphFont"/>
    <w:link w:val="CommentText"/>
    <w:uiPriority w:val="99"/>
    <w:semiHidden/>
    <w:rsid w:val="0083152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831526"/>
    <w:rPr>
      <w:b/>
      <w:bCs/>
    </w:rPr>
  </w:style>
  <w:style w:type="character" w:customStyle="1" w:styleId="CommentSubjectChar">
    <w:name w:val="Comment Subject Char"/>
    <w:basedOn w:val="CommentTextChar"/>
    <w:link w:val="CommentSubject"/>
    <w:uiPriority w:val="99"/>
    <w:semiHidden/>
    <w:rsid w:val="00831526"/>
    <w:rPr>
      <w:rFonts w:cstheme="minorBidi"/>
      <w:b/>
      <w:bCs/>
      <w:sz w:val="20"/>
      <w:szCs w:val="20"/>
      <w:lang w:val="en-GB"/>
    </w:rPr>
  </w:style>
  <w:style w:type="paragraph" w:styleId="BalloonText">
    <w:name w:val="Balloon Text"/>
    <w:basedOn w:val="Normal"/>
    <w:link w:val="BalloonTextChar"/>
    <w:uiPriority w:val="99"/>
    <w:semiHidden/>
    <w:unhideWhenUsed/>
    <w:rsid w:val="00831526"/>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hAnsi="Tahoma" w:cs="Tahoma"/>
      <w:sz w:val="16"/>
      <w:szCs w:val="16"/>
      <w:lang w:val="en-GB"/>
    </w:rPr>
  </w:style>
  <w:style w:type="table" w:styleId="TableGrid">
    <w:name w:val="Table Grid"/>
    <w:basedOn w:val="TableNormal"/>
    <w:uiPriority w:val="59"/>
    <w:rsid w:val="00E71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E644D"/>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APECForm">
    <w:name w:val="APEC Form"/>
    <w:basedOn w:val="Normal"/>
    <w:qFormat/>
    <w:rsid w:val="007E644D"/>
    <w:pPr>
      <w:tabs>
        <w:tab w:val="left" w:pos="2880"/>
        <w:tab w:val="left" w:pos="5760"/>
      </w:tabs>
      <w:spacing w:before="60" w:after="120" w:line="300" w:lineRule="atLeast"/>
    </w:pPr>
    <w:rPr>
      <w:rFonts w:eastAsia="PMingLiU" w:cs="Times New Roman"/>
      <w:bCs/>
      <w:sz w:val="20"/>
    </w:rPr>
  </w:style>
  <w:style w:type="character" w:styleId="CommentReference">
    <w:name w:val="annotation reference"/>
    <w:basedOn w:val="DefaultParagraphFont"/>
    <w:uiPriority w:val="99"/>
    <w:semiHidden/>
    <w:unhideWhenUsed/>
    <w:rsid w:val="00831526"/>
    <w:rPr>
      <w:sz w:val="16"/>
      <w:szCs w:val="16"/>
    </w:rPr>
  </w:style>
  <w:style w:type="paragraph" w:styleId="CommentText">
    <w:name w:val="annotation text"/>
    <w:basedOn w:val="Normal"/>
    <w:link w:val="CommentTextChar"/>
    <w:uiPriority w:val="99"/>
    <w:semiHidden/>
    <w:unhideWhenUsed/>
    <w:rsid w:val="00831526"/>
    <w:rPr>
      <w:sz w:val="20"/>
      <w:szCs w:val="20"/>
    </w:rPr>
  </w:style>
  <w:style w:type="character" w:customStyle="1" w:styleId="CommentTextChar">
    <w:name w:val="Comment Text Char"/>
    <w:basedOn w:val="DefaultParagraphFont"/>
    <w:link w:val="CommentText"/>
    <w:uiPriority w:val="99"/>
    <w:semiHidden/>
    <w:rsid w:val="0083152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831526"/>
    <w:rPr>
      <w:b/>
      <w:bCs/>
    </w:rPr>
  </w:style>
  <w:style w:type="character" w:customStyle="1" w:styleId="CommentSubjectChar">
    <w:name w:val="Comment Subject Char"/>
    <w:basedOn w:val="CommentTextChar"/>
    <w:link w:val="CommentSubject"/>
    <w:uiPriority w:val="99"/>
    <w:semiHidden/>
    <w:rsid w:val="00831526"/>
    <w:rPr>
      <w:rFonts w:cstheme="minorBidi"/>
      <w:b/>
      <w:bCs/>
      <w:sz w:val="20"/>
      <w:szCs w:val="20"/>
      <w:lang w:val="en-GB"/>
    </w:rPr>
  </w:style>
  <w:style w:type="paragraph" w:styleId="BalloonText">
    <w:name w:val="Balloon Text"/>
    <w:basedOn w:val="Normal"/>
    <w:link w:val="BalloonTextChar"/>
    <w:uiPriority w:val="99"/>
    <w:semiHidden/>
    <w:unhideWhenUsed/>
    <w:rsid w:val="00831526"/>
    <w:rPr>
      <w:rFonts w:ascii="Tahoma" w:hAnsi="Tahoma" w:cs="Tahoma"/>
      <w:sz w:val="16"/>
      <w:szCs w:val="16"/>
    </w:rPr>
  </w:style>
  <w:style w:type="character" w:customStyle="1" w:styleId="BalloonTextChar">
    <w:name w:val="Balloon Text Char"/>
    <w:basedOn w:val="DefaultParagraphFont"/>
    <w:link w:val="BalloonText"/>
    <w:uiPriority w:val="99"/>
    <w:semiHidden/>
    <w:rsid w:val="00831526"/>
    <w:rPr>
      <w:rFonts w:ascii="Tahoma" w:hAnsi="Tahoma" w:cs="Tahoma"/>
      <w:sz w:val="16"/>
      <w:szCs w:val="16"/>
      <w:lang w:val="en-GB"/>
    </w:rPr>
  </w:style>
  <w:style w:type="table" w:styleId="TableGrid">
    <w:name w:val="Table Grid"/>
    <w:basedOn w:val="TableNormal"/>
    <w:uiPriority w:val="59"/>
    <w:rsid w:val="00E71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2046">
      <w:bodyDiv w:val="1"/>
      <w:marLeft w:val="0"/>
      <w:marRight w:val="0"/>
      <w:marTop w:val="0"/>
      <w:marBottom w:val="0"/>
      <w:divBdr>
        <w:top w:val="none" w:sz="0" w:space="0" w:color="auto"/>
        <w:left w:val="none" w:sz="0" w:space="0" w:color="auto"/>
        <w:bottom w:val="none" w:sz="0" w:space="0" w:color="auto"/>
        <w:right w:val="none" w:sz="0" w:space="0" w:color="auto"/>
      </w:divBdr>
    </w:div>
    <w:div w:id="244153509">
      <w:bodyDiv w:val="1"/>
      <w:marLeft w:val="0"/>
      <w:marRight w:val="0"/>
      <w:marTop w:val="0"/>
      <w:marBottom w:val="0"/>
      <w:divBdr>
        <w:top w:val="none" w:sz="0" w:space="0" w:color="auto"/>
        <w:left w:val="none" w:sz="0" w:space="0" w:color="auto"/>
        <w:bottom w:val="none" w:sz="0" w:space="0" w:color="auto"/>
        <w:right w:val="none" w:sz="0" w:space="0" w:color="auto"/>
      </w:divBdr>
      <w:divsChild>
        <w:div w:id="803809320">
          <w:marLeft w:val="720"/>
          <w:marRight w:val="0"/>
          <w:marTop w:val="134"/>
          <w:marBottom w:val="120"/>
          <w:divBdr>
            <w:top w:val="none" w:sz="0" w:space="0" w:color="auto"/>
            <w:left w:val="none" w:sz="0" w:space="0" w:color="auto"/>
            <w:bottom w:val="none" w:sz="0" w:space="0" w:color="auto"/>
            <w:right w:val="none" w:sz="0" w:space="0" w:color="auto"/>
          </w:divBdr>
        </w:div>
      </w:divsChild>
    </w:div>
    <w:div w:id="568003192">
      <w:bodyDiv w:val="1"/>
      <w:marLeft w:val="0"/>
      <w:marRight w:val="0"/>
      <w:marTop w:val="0"/>
      <w:marBottom w:val="0"/>
      <w:divBdr>
        <w:top w:val="none" w:sz="0" w:space="0" w:color="auto"/>
        <w:left w:val="none" w:sz="0" w:space="0" w:color="auto"/>
        <w:bottom w:val="none" w:sz="0" w:space="0" w:color="auto"/>
        <w:right w:val="none" w:sz="0" w:space="0" w:color="auto"/>
      </w:divBdr>
      <w:divsChild>
        <w:div w:id="2111856701">
          <w:marLeft w:val="720"/>
          <w:marRight w:val="0"/>
          <w:marTop w:val="134"/>
          <w:marBottom w:val="120"/>
          <w:divBdr>
            <w:top w:val="none" w:sz="0" w:space="0" w:color="auto"/>
            <w:left w:val="none" w:sz="0" w:space="0" w:color="auto"/>
            <w:bottom w:val="none" w:sz="0" w:space="0" w:color="auto"/>
            <w:right w:val="none" w:sz="0" w:space="0" w:color="auto"/>
          </w:divBdr>
        </w:div>
      </w:divsChild>
    </w:div>
    <w:div w:id="1475754493">
      <w:bodyDiv w:val="1"/>
      <w:marLeft w:val="0"/>
      <w:marRight w:val="0"/>
      <w:marTop w:val="0"/>
      <w:marBottom w:val="0"/>
      <w:divBdr>
        <w:top w:val="none" w:sz="0" w:space="0" w:color="auto"/>
        <w:left w:val="none" w:sz="0" w:space="0" w:color="auto"/>
        <w:bottom w:val="none" w:sz="0" w:space="0" w:color="auto"/>
        <w:right w:val="none" w:sz="0" w:space="0" w:color="auto"/>
      </w:divBdr>
      <w:divsChild>
        <w:div w:id="1231387088">
          <w:marLeft w:val="720"/>
          <w:marRight w:val="0"/>
          <w:marTop w:val="134"/>
          <w:marBottom w:val="120"/>
          <w:divBdr>
            <w:top w:val="none" w:sz="0" w:space="0" w:color="auto"/>
            <w:left w:val="none" w:sz="0" w:space="0" w:color="auto"/>
            <w:bottom w:val="none" w:sz="0" w:space="0" w:color="auto"/>
            <w:right w:val="none" w:sz="0" w:space="0" w:color="auto"/>
          </w:divBdr>
        </w:div>
      </w:divsChild>
    </w:div>
    <w:div w:id="2141876683">
      <w:bodyDiv w:val="1"/>
      <w:marLeft w:val="0"/>
      <w:marRight w:val="0"/>
      <w:marTop w:val="0"/>
      <w:marBottom w:val="0"/>
      <w:divBdr>
        <w:top w:val="none" w:sz="0" w:space="0" w:color="auto"/>
        <w:left w:val="none" w:sz="0" w:space="0" w:color="auto"/>
        <w:bottom w:val="none" w:sz="0" w:space="0" w:color="auto"/>
        <w:right w:val="none" w:sz="0" w:space="0" w:color="auto"/>
      </w:divBdr>
      <w:divsChild>
        <w:div w:id="1531332076">
          <w:marLeft w:val="720"/>
          <w:marRight w:val="0"/>
          <w:marTop w:val="13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5E13-E485-4CFF-B4AF-48254D51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dugbaj</dc:creator>
  <cp:lastModifiedBy>Janine Mans</cp:lastModifiedBy>
  <cp:revision>4</cp:revision>
  <cp:lastPrinted>2014-08-15T04:36:00Z</cp:lastPrinted>
  <dcterms:created xsi:type="dcterms:W3CDTF">2014-08-29T01:26:00Z</dcterms:created>
  <dcterms:modified xsi:type="dcterms:W3CDTF">2014-09-05T15:54:00Z</dcterms:modified>
</cp:coreProperties>
</file>